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0" w:rsidRDefault="00577AC0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406BD85F" wp14:editId="045899F8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C0" w:rsidRDefault="00577AC0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CF858D2" wp14:editId="3E7466FA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AC0" w:rsidRPr="00577AC0" w:rsidRDefault="00577AC0" w:rsidP="0057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77AC0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G-0038/2018</w:t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8 de Marzo de 2018</w:t>
      </w:r>
    </w:p>
    <w:p w:rsidR="00577AC0" w:rsidRPr="00577AC0" w:rsidRDefault="00577AC0" w:rsidP="0057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Resolución Final de la investigación antidumping sobre las importaciones de tubería de acero al carbono y aleada con costura longitudinal de sección circular, cuadrada y rectangular originarias de la República Popular China, independientemente del país de procedencia</w:t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77AC0" w:rsidRPr="00577AC0" w:rsidRDefault="00577AC0" w:rsidP="00577A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Hacemos de su conocimiento que la Secretaría de Economía publicó en el D.O.F. del 08/03/2018, la Resolución citada al rubro, </w:t>
      </w:r>
      <w:r w:rsidRPr="00577AC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cuya entrada en vigor es al día siguiente de su publicación</w:t>
      </w:r>
      <w:r w:rsidRPr="00577AC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,</w:t>
      </w:r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como se indica a continuación:</w:t>
      </w:r>
    </w:p>
    <w:p w:rsidR="00577AC0" w:rsidRPr="00577AC0" w:rsidRDefault="00577AC0" w:rsidP="0057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77AC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Producto:</w:t>
      </w:r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</w:t>
      </w:r>
      <w:r w:rsidRPr="00577AC0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Tubería de acero al carbono y aleada con costura longitudinal de sección circular, cuadrada y rectangular.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7317"/>
      </w:tblGrid>
      <w:tr w:rsidR="00577AC0" w:rsidRPr="00577AC0" w:rsidTr="00577AC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Fracciones arancelarias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7306.19.99, 7306.30.01, 7306.30.99 y 7306.61.01 de la TIGIE, o por cualquier otra.</w:t>
            </w:r>
          </w:p>
        </w:tc>
      </w:tr>
      <w:tr w:rsidR="00577AC0" w:rsidRPr="00577AC0" w:rsidTr="00577AC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País de origen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China.</w:t>
            </w:r>
          </w:p>
        </w:tc>
      </w:tr>
      <w:tr w:rsidR="00577AC0" w:rsidRPr="00577AC0" w:rsidTr="00577AC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Tipo de Resolución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Resolución final de la investigación antidumping.</w:t>
            </w:r>
          </w:p>
        </w:tc>
      </w:tr>
      <w:tr w:rsidR="00577AC0" w:rsidRPr="00577AC0" w:rsidTr="00577AC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Resolución de la autoridad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AC0" w:rsidRPr="00577AC0" w:rsidRDefault="00577AC0" w:rsidP="00577A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color w:val="2F2F2F"/>
                <w:sz w:val="24"/>
                <w:szCs w:val="24"/>
                <w:lang w:eastAsia="es-MX"/>
              </w:rPr>
              <w:t>Se declara concluido el procedimiento de investigación en materia de prácticas desleales de comercio internacional.</w:t>
            </w:r>
          </w:p>
          <w:p w:rsidR="00577AC0" w:rsidRPr="00577AC0" w:rsidRDefault="00577AC0" w:rsidP="00577A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color w:val="2F2F2F"/>
                <w:sz w:val="24"/>
                <w:szCs w:val="24"/>
                <w:lang w:eastAsia="es-MX"/>
              </w:rPr>
              <w:t>Se imponen cuotas compensatorias definitivas a las importaciones de tubería de acero al carbono y aleada con costura longitudinal, de sección circular, cuadrada y rectangular, incluidas las</w:t>
            </w:r>
            <w:r w:rsidRPr="00577A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80"/>
                <w:sz w:val="24"/>
                <w:szCs w:val="24"/>
                <w:lang w:eastAsia="es-MX"/>
              </w:rPr>
              <w:t> definitivas y temporales</w:t>
            </w:r>
            <w:r w:rsidRPr="00577AC0">
              <w:rPr>
                <w:rFonts w:ascii="Arial Narrow" w:eastAsia="Times New Roman" w:hAnsi="Arial Narrow" w:cs="Times New Roman"/>
                <w:i/>
                <w:iCs/>
                <w:color w:val="2F2F2F"/>
                <w:sz w:val="24"/>
                <w:szCs w:val="24"/>
                <w:lang w:eastAsia="es-MX"/>
              </w:rPr>
              <w:t>,</w:t>
            </w:r>
            <w:r w:rsidRPr="00577AC0">
              <w:rPr>
                <w:rFonts w:ascii="Arial Narrow" w:eastAsia="Times New Roman" w:hAnsi="Arial Narrow" w:cs="Times New Roman"/>
                <w:color w:val="2F2F2F"/>
                <w:sz w:val="24"/>
                <w:szCs w:val="24"/>
                <w:lang w:eastAsia="es-MX"/>
              </w:rPr>
              <w:t> en los siguientes términos:</w:t>
            </w:r>
          </w:p>
          <w:p w:rsidR="00577AC0" w:rsidRPr="00577AC0" w:rsidRDefault="00577AC0" w:rsidP="00577AC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0.506 dólares por kilogramo para las importaciones provenientes </w:t>
            </w: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lastRenderedPageBreak/>
              <w:t xml:space="preserve">de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Huilitong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.</w:t>
            </w:r>
          </w:p>
          <w:p w:rsidR="00577AC0" w:rsidRPr="00577AC0" w:rsidRDefault="00577AC0" w:rsidP="00577AC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0.618 dólares por kilogramo para las importaciones provenientes de Tangshan,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Youfa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Dezhong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Youfa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Steel No. 1 y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Youfa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Steel No. 2 y de las demás exportadoras de China.</w:t>
            </w:r>
          </w:p>
          <w:p w:rsidR="00577AC0" w:rsidRPr="00577AC0" w:rsidRDefault="00577AC0" w:rsidP="00577AC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0.356 dólares por kilogramo para las importaciones provenientes de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Huludao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.</w:t>
            </w:r>
          </w:p>
          <w:p w:rsidR="00577AC0" w:rsidRPr="00577AC0" w:rsidRDefault="00577AC0" w:rsidP="00577AC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0.537 dólares por kilogramo para las importaciones provenientes de </w:t>
            </w:r>
            <w:proofErr w:type="spellStart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United</w:t>
            </w:r>
            <w:proofErr w:type="spellEnd"/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.</w:t>
            </w:r>
          </w:p>
          <w:p w:rsidR="00577AC0" w:rsidRPr="00577AC0" w:rsidRDefault="00577AC0" w:rsidP="00577A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Con fundamento en los artículos 10.3 del Acuerdo Antidumping y 65 de la LCE, </w:t>
            </w:r>
            <w:r w:rsidRPr="00577A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80"/>
                <w:sz w:val="24"/>
                <w:szCs w:val="24"/>
                <w:lang w:eastAsia="es-MX"/>
              </w:rPr>
              <w:t>háganse efectivas las garantías que se hubieren otorgado por el pago de las cuotas compensatorias provisionales</w:t>
            </w: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577AC0" w:rsidRPr="00577AC0" w:rsidTr="00577AC0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lastRenderedPageBreak/>
              <w:t>Antecedentes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AC0" w:rsidRPr="00577AC0" w:rsidRDefault="00577AC0" w:rsidP="0057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7AC0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  <w:lang w:eastAsia="es-MX"/>
              </w:rPr>
              <w:t>D.O.F. 07/12/2016</w:t>
            </w: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72651E5" wp14:editId="74209DDF">
                  <wp:extent cx="112395" cy="137795"/>
                  <wp:effectExtent l="0" t="0" r="1905" b="0"/>
                  <wp:docPr id="2" name="Imagen 2" descr="Diario Oficia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rio Oficia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AC0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 Resolución de inicio de la investigación antidumping.</w:t>
            </w:r>
          </w:p>
        </w:tc>
      </w:tr>
    </w:tbl>
    <w:p w:rsidR="00577AC0" w:rsidRPr="00577AC0" w:rsidRDefault="00577AC0" w:rsidP="0057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Cualquier duda o comentario, favor de dirigirse a la Dirección Operativa de esta Confederación.</w:t>
      </w:r>
    </w:p>
    <w:p w:rsidR="00577AC0" w:rsidRPr="00577AC0" w:rsidRDefault="00577AC0" w:rsidP="00577AC0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La Resolución se encuentra disponible en la Base de Datos CAAAREM para su </w:t>
      </w:r>
      <w:proofErr w:type="gramStart"/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consulta 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MX"/>
        </w:rPr>
        <w:drawing>
          <wp:inline distT="0" distB="0" distL="0" distR="0" wp14:anchorId="2255727E" wp14:editId="431616A0">
            <wp:extent cx="112395" cy="137795"/>
            <wp:effectExtent l="0" t="0" r="1905" b="0"/>
            <wp:docPr id="1" name="Imagen 1" descr="Diario Ofici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rio Ofici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C0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</w:p>
    <w:p w:rsidR="00577AC0" w:rsidRPr="00577AC0" w:rsidRDefault="00577AC0" w:rsidP="0057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77AC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577AC0" w:rsidRDefault="00577AC0" w:rsidP="00577AC0">
      <w:r w:rsidRPr="00577AC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77AC0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LRV/UMB/ACG</w:t>
      </w:r>
    </w:p>
    <w:sectPr w:rsidR="00577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BDF"/>
    <w:multiLevelType w:val="multilevel"/>
    <w:tmpl w:val="F4AE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50FF3"/>
    <w:multiLevelType w:val="multilevel"/>
    <w:tmpl w:val="26C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0"/>
    <w:rsid w:val="001F4880"/>
    <w:rsid w:val="005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DiaOfic.nsf/7a19c73e3b37bd9a06256291005e3a98/7b51e4f6ac52a0ec8625808200495e8b?OpenDocume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aarem.mx/Bases/DiaOfic.nsf/7a19c73e3b37bd9a06256291005e3a98/719d62372baa99b88625824a00482f6f?Open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2018-03-09T14:43:00Z</dcterms:created>
  <dcterms:modified xsi:type="dcterms:W3CDTF">2018-03-09T14:44:00Z</dcterms:modified>
</cp:coreProperties>
</file>