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7ED58" w14:textId="77777777" w:rsidR="00586E34" w:rsidRDefault="00586E34" w:rsidP="00586E34">
      <w:pPr>
        <w:shd w:val="clear" w:color="auto" w:fill="FFFFFF"/>
        <w:jc w:val="center"/>
        <w:rPr>
          <w:rFonts w:ascii="Century Gothic" w:eastAsia="Times New Roman" w:hAnsi="Century Gothic" w:cs="Times New Roman"/>
          <w:b/>
          <w:bCs/>
          <w:color w:val="0060A0"/>
          <w:sz w:val="27"/>
          <w:szCs w:val="27"/>
        </w:rPr>
      </w:pPr>
      <w:r>
        <w:rPr>
          <w:rFonts w:ascii="Century Gothic" w:eastAsia="Times New Roman" w:hAnsi="Century Gothic" w:cs="Times New Roman"/>
          <w:b/>
          <w:bCs/>
          <w:noProof/>
          <w:color w:val="0060A0"/>
          <w:sz w:val="27"/>
          <w:szCs w:val="27"/>
          <w:lang w:val="es-ES"/>
        </w:rPr>
        <w:drawing>
          <wp:inline distT="0" distB="0" distL="0" distR="0" wp14:anchorId="6C13E48F" wp14:editId="52343E1B">
            <wp:extent cx="5612130" cy="694528"/>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694528"/>
                    </a:xfrm>
                    <a:prstGeom prst="rect">
                      <a:avLst/>
                    </a:prstGeom>
                    <a:noFill/>
                    <a:ln>
                      <a:noFill/>
                    </a:ln>
                  </pic:spPr>
                </pic:pic>
              </a:graphicData>
            </a:graphic>
          </wp:inline>
        </w:drawing>
      </w:r>
    </w:p>
    <w:p w14:paraId="14692C07" w14:textId="77777777" w:rsidR="00586E34" w:rsidRDefault="00586E34" w:rsidP="00586E34">
      <w:pPr>
        <w:shd w:val="clear" w:color="auto" w:fill="FFFFFF"/>
        <w:jc w:val="right"/>
        <w:rPr>
          <w:rFonts w:ascii="Century Gothic" w:eastAsia="Times New Roman" w:hAnsi="Century Gothic" w:cs="Times New Roman"/>
          <w:b/>
          <w:bCs/>
          <w:color w:val="0060A0"/>
          <w:sz w:val="27"/>
          <w:szCs w:val="27"/>
        </w:rPr>
      </w:pPr>
    </w:p>
    <w:p w14:paraId="3C0FE134" w14:textId="77777777" w:rsidR="00652EB7" w:rsidRPr="00652EB7" w:rsidRDefault="00652EB7" w:rsidP="00652EB7">
      <w:pPr>
        <w:shd w:val="clear" w:color="auto" w:fill="FFFFFF"/>
        <w:jc w:val="right"/>
        <w:rPr>
          <w:rFonts w:ascii="Times" w:eastAsia="Times New Roman" w:hAnsi="Times" w:cs="Times New Roman"/>
          <w:color w:val="000000"/>
          <w:sz w:val="27"/>
          <w:szCs w:val="27"/>
        </w:rPr>
      </w:pPr>
      <w:r w:rsidRPr="00652EB7">
        <w:rPr>
          <w:rFonts w:ascii="Century Gothic" w:eastAsia="Times New Roman" w:hAnsi="Century Gothic" w:cs="Times New Roman"/>
          <w:b/>
          <w:bCs/>
          <w:color w:val="0060A0"/>
          <w:sz w:val="27"/>
          <w:szCs w:val="27"/>
        </w:rPr>
        <w:t>G-0055/2018</w:t>
      </w:r>
      <w:r w:rsidRPr="00652EB7">
        <w:rPr>
          <w:rFonts w:ascii="Times" w:eastAsia="Times New Roman" w:hAnsi="Times" w:cs="Times New Roman"/>
          <w:color w:val="000000"/>
          <w:sz w:val="27"/>
          <w:szCs w:val="27"/>
        </w:rPr>
        <w:br/>
      </w:r>
      <w:r w:rsidRPr="00652EB7">
        <w:rPr>
          <w:rFonts w:ascii="Century Gothic" w:eastAsia="Times New Roman" w:hAnsi="Century Gothic" w:cs="Times New Roman"/>
          <w:b/>
          <w:bCs/>
          <w:color w:val="0060A0"/>
          <w:sz w:val="27"/>
          <w:szCs w:val="27"/>
        </w:rPr>
        <w:t>México D.F., a 9 de Abril de 2018</w:t>
      </w:r>
    </w:p>
    <w:p w14:paraId="483F4CF9" w14:textId="77777777" w:rsidR="00652EB7" w:rsidRPr="00652EB7" w:rsidRDefault="00652EB7" w:rsidP="00652EB7">
      <w:pPr>
        <w:jc w:val="both"/>
        <w:rPr>
          <w:rFonts w:ascii="Times" w:eastAsia="Times New Roman" w:hAnsi="Times" w:cs="Times New Roman"/>
          <w:sz w:val="20"/>
          <w:szCs w:val="20"/>
        </w:rPr>
      </w:pPr>
      <w:r w:rsidRPr="00652EB7">
        <w:rPr>
          <w:rFonts w:ascii="Times" w:eastAsia="Times New Roman" w:hAnsi="Times" w:cs="Times New Roman"/>
          <w:color w:val="000000"/>
          <w:sz w:val="27"/>
          <w:szCs w:val="27"/>
        </w:rPr>
        <w:br/>
      </w:r>
      <w:r w:rsidRPr="00652EB7">
        <w:rPr>
          <w:rFonts w:ascii="Century Gothic" w:eastAsia="Times New Roman" w:hAnsi="Century Gothic" w:cs="Times New Roman"/>
          <w:b/>
          <w:bCs/>
          <w:color w:val="000080"/>
          <w:sz w:val="27"/>
          <w:szCs w:val="27"/>
          <w:shd w:val="clear" w:color="auto" w:fill="FFFFFF"/>
        </w:rPr>
        <w:t>Acuerdo de la Comisión Reguladora de Energía por el que se declara la terminación de la vigencia del artículo Segundo Transitorio, párrafo primero, de la Norma Oficial Mexicana NOM-016-CRE-2016, Especificaciones de calidad de los petrolíferos.</w:t>
      </w:r>
      <w:r w:rsidRPr="00652EB7">
        <w:rPr>
          <w:rFonts w:ascii="Times" w:eastAsia="Times New Roman" w:hAnsi="Times" w:cs="Times New Roman"/>
          <w:color w:val="000000"/>
          <w:sz w:val="27"/>
          <w:szCs w:val="27"/>
        </w:rPr>
        <w:br/>
      </w:r>
    </w:p>
    <w:p w14:paraId="3F78D86E" w14:textId="77777777" w:rsidR="00652EB7" w:rsidRPr="00652EB7" w:rsidRDefault="00652EB7" w:rsidP="00652EB7">
      <w:pPr>
        <w:shd w:val="clear" w:color="auto" w:fill="FFFFFF"/>
        <w:spacing w:before="100" w:beforeAutospacing="1" w:after="100" w:afterAutospacing="1"/>
        <w:jc w:val="both"/>
        <w:rPr>
          <w:rFonts w:ascii="Times" w:hAnsi="Times" w:cs="Times New Roman"/>
          <w:color w:val="000000"/>
          <w:sz w:val="27"/>
          <w:szCs w:val="27"/>
        </w:rPr>
      </w:pPr>
      <w:bookmarkStart w:id="0" w:name="_GoBack"/>
      <w:bookmarkEnd w:id="0"/>
      <w:r w:rsidRPr="00652EB7">
        <w:rPr>
          <w:rFonts w:ascii="Times" w:hAnsi="Times" w:cs="Times New Roman"/>
          <w:color w:val="000000"/>
          <w:sz w:val="27"/>
          <w:szCs w:val="27"/>
        </w:rPr>
        <w:br/>
      </w:r>
      <w:r w:rsidRPr="00652EB7">
        <w:rPr>
          <w:rFonts w:ascii="Century Gothic" w:hAnsi="Century Gothic" w:cs="Times New Roman"/>
          <w:b/>
          <w:bCs/>
          <w:i/>
          <w:iCs/>
          <w:color w:val="000000"/>
          <w:sz w:val="27"/>
          <w:szCs w:val="27"/>
        </w:rPr>
        <w:t>A TODA LA COMUNIDAD DE COMERCIO EXTERIOR y ADUANAL:</w:t>
      </w:r>
      <w:r w:rsidRPr="00652EB7">
        <w:rPr>
          <w:rFonts w:ascii="Times" w:hAnsi="Times" w:cs="Times New Roman"/>
          <w:color w:val="000000"/>
          <w:sz w:val="27"/>
          <w:szCs w:val="27"/>
        </w:rPr>
        <w:br/>
      </w:r>
      <w:r w:rsidRPr="00652EB7">
        <w:rPr>
          <w:rFonts w:ascii="Times" w:hAnsi="Times" w:cs="Times New Roman"/>
          <w:color w:val="000000"/>
          <w:sz w:val="27"/>
          <w:szCs w:val="27"/>
        </w:rPr>
        <w:br/>
      </w:r>
      <w:r w:rsidRPr="00652EB7">
        <w:rPr>
          <w:rFonts w:ascii="Arial Narrow" w:hAnsi="Arial Narrow" w:cs="Times New Roman"/>
          <w:color w:val="000000"/>
          <w:sz w:val="27"/>
          <w:szCs w:val="27"/>
        </w:rPr>
        <w:t>Hacemos de su conocimiento que la Comisión Reguladora (CRE) de Energía publica en el D.O.F. de fecha 09/04/2018, el Acuerdo citado al rubro, mismo que </w:t>
      </w:r>
      <w:r w:rsidRPr="00652EB7">
        <w:rPr>
          <w:rFonts w:ascii="Arial Narrow" w:hAnsi="Arial Narrow" w:cs="Times New Roman"/>
          <w:b/>
          <w:bCs/>
          <w:color w:val="000000"/>
          <w:sz w:val="27"/>
          <w:szCs w:val="27"/>
          <w:u w:val="single"/>
        </w:rPr>
        <w:t>entrará en vigor al día siguiente de su publicación</w:t>
      </w:r>
      <w:r w:rsidRPr="00652EB7">
        <w:rPr>
          <w:rFonts w:ascii="Arial Narrow" w:hAnsi="Arial Narrow" w:cs="Times New Roman"/>
          <w:color w:val="000000"/>
          <w:sz w:val="27"/>
          <w:szCs w:val="27"/>
        </w:rPr>
        <w:t>.</w:t>
      </w:r>
      <w:r w:rsidRPr="00652EB7">
        <w:rPr>
          <w:rFonts w:ascii="Times" w:hAnsi="Times" w:cs="Times New Roman"/>
          <w:color w:val="000000"/>
          <w:sz w:val="27"/>
          <w:szCs w:val="27"/>
        </w:rPr>
        <w:br/>
      </w:r>
      <w:r w:rsidRPr="00652EB7">
        <w:rPr>
          <w:rFonts w:ascii="Times" w:hAnsi="Times" w:cs="Times New Roman"/>
          <w:color w:val="000000"/>
          <w:sz w:val="27"/>
          <w:szCs w:val="27"/>
        </w:rPr>
        <w:br/>
      </w:r>
      <w:r w:rsidRPr="00652EB7">
        <w:rPr>
          <w:rFonts w:ascii="Arial Narrow" w:hAnsi="Arial Narrow" w:cs="Times New Roman"/>
          <w:color w:val="000000"/>
          <w:sz w:val="27"/>
          <w:szCs w:val="27"/>
        </w:rPr>
        <w:t>En el presente Acuerdo, la CRE detalla lo siguiente: </w:t>
      </w:r>
    </w:p>
    <w:p w14:paraId="1A13C3FD" w14:textId="1BAD4E39" w:rsidR="00652EB7" w:rsidRPr="00652EB7" w:rsidRDefault="00652EB7" w:rsidP="00652EB7">
      <w:pPr>
        <w:numPr>
          <w:ilvl w:val="1"/>
          <w:numId w:val="7"/>
        </w:numPr>
        <w:shd w:val="clear" w:color="auto" w:fill="FFFFFF"/>
        <w:spacing w:before="100" w:beforeAutospacing="1" w:after="100" w:afterAutospacing="1"/>
        <w:jc w:val="both"/>
        <w:rPr>
          <w:rFonts w:ascii="Times" w:eastAsia="Times New Roman" w:hAnsi="Times" w:cs="Times New Roman"/>
          <w:color w:val="000000"/>
          <w:sz w:val="27"/>
          <w:szCs w:val="27"/>
        </w:rPr>
      </w:pPr>
      <w:r w:rsidRPr="00652EB7">
        <w:rPr>
          <w:rFonts w:ascii="Arial Narrow" w:eastAsia="Times New Roman" w:hAnsi="Arial Narrow" w:cs="Times New Roman"/>
          <w:color w:val="000000"/>
          <w:sz w:val="27"/>
          <w:szCs w:val="27"/>
        </w:rPr>
        <w:t>Determina que no subsisten las condiciones que dieron origen al </w:t>
      </w:r>
      <w:r w:rsidRPr="00652EB7">
        <w:rPr>
          <w:rFonts w:ascii="Arial Narrow" w:eastAsia="Times New Roman" w:hAnsi="Arial Narrow" w:cs="Times New Roman"/>
          <w:b/>
          <w:bCs/>
          <w:color w:val="000080"/>
          <w:sz w:val="27"/>
          <w:szCs w:val="27"/>
        </w:rPr>
        <w:t>artículo Segundo Transitorio</w:t>
      </w:r>
      <w:r w:rsidRPr="00652EB7">
        <w:rPr>
          <w:rFonts w:ascii="Arial Narrow" w:eastAsia="Times New Roman" w:hAnsi="Arial Narrow" w:cs="Times New Roman"/>
          <w:i/>
          <w:iCs/>
          <w:color w:val="000000"/>
          <w:sz w:val="27"/>
          <w:szCs w:val="27"/>
        </w:rPr>
        <w:t>,</w:t>
      </w:r>
      <w:r w:rsidRPr="00652EB7">
        <w:rPr>
          <w:rFonts w:ascii="Arial Narrow" w:eastAsia="Times New Roman" w:hAnsi="Arial Narrow" w:cs="Times New Roman"/>
          <w:b/>
          <w:bCs/>
          <w:color w:val="000080"/>
          <w:sz w:val="27"/>
          <w:szCs w:val="27"/>
        </w:rPr>
        <w:t> primer párrafo de la NOM-016-CRE-2016 </w:t>
      </w:r>
      <w:r>
        <w:rPr>
          <w:rFonts w:ascii="Times" w:eastAsia="Times New Roman" w:hAnsi="Times" w:cs="Times New Roman"/>
          <w:noProof/>
          <w:color w:val="0000FF"/>
          <w:sz w:val="27"/>
          <w:szCs w:val="27"/>
          <w:lang w:val="es-ES"/>
        </w:rPr>
        <w:drawing>
          <wp:inline distT="0" distB="0" distL="0" distR="0" wp14:anchorId="3999159C" wp14:editId="2791B3D9">
            <wp:extent cx="147955" cy="174625"/>
            <wp:effectExtent l="0" t="0" r="4445" b="3175"/>
            <wp:docPr id="1" name="Imagen 1" descr="ey Federal sobre Metrol. y Nor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 Federal sobre Metrol. y Nor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 cy="174625"/>
                    </a:xfrm>
                    <a:prstGeom prst="rect">
                      <a:avLst/>
                    </a:prstGeom>
                    <a:noFill/>
                    <a:ln>
                      <a:noFill/>
                    </a:ln>
                  </pic:spPr>
                </pic:pic>
              </a:graphicData>
            </a:graphic>
          </wp:inline>
        </w:drawing>
      </w:r>
      <w:r w:rsidRPr="00652EB7">
        <w:rPr>
          <w:rFonts w:ascii="Arial Narrow" w:eastAsia="Times New Roman" w:hAnsi="Arial Narrow" w:cs="Times New Roman"/>
          <w:color w:val="000000"/>
          <w:sz w:val="27"/>
          <w:szCs w:val="27"/>
        </w:rPr>
        <w:t>, Especificaciones de calidad de los petrolíferos, </w:t>
      </w:r>
      <w:r w:rsidRPr="00652EB7">
        <w:rPr>
          <w:rFonts w:ascii="Arial Narrow" w:eastAsia="Times New Roman" w:hAnsi="Arial Narrow" w:cs="Times New Roman"/>
          <w:b/>
          <w:bCs/>
          <w:color w:val="000000"/>
          <w:sz w:val="27"/>
          <w:szCs w:val="27"/>
          <w:u w:val="single"/>
        </w:rPr>
        <w:t>por lo que se declara la terminación de su vigencia.</w:t>
      </w:r>
    </w:p>
    <w:p w14:paraId="03527417" w14:textId="77777777" w:rsidR="00652EB7" w:rsidRPr="00652EB7" w:rsidRDefault="00652EB7" w:rsidP="00652EB7">
      <w:pPr>
        <w:jc w:val="both"/>
        <w:rPr>
          <w:rFonts w:ascii="Times" w:eastAsia="Times New Roman" w:hAnsi="Times" w:cs="Times New Roman"/>
          <w:sz w:val="20"/>
          <w:szCs w:val="20"/>
        </w:rPr>
      </w:pPr>
      <w:r w:rsidRPr="00652EB7">
        <w:rPr>
          <w:rFonts w:ascii="Times" w:eastAsia="Times New Roman" w:hAnsi="Times" w:cs="Times New Roman"/>
          <w:color w:val="000000"/>
          <w:sz w:val="27"/>
          <w:szCs w:val="27"/>
        </w:rPr>
        <w:br/>
      </w:r>
      <w:r w:rsidRPr="00652EB7">
        <w:rPr>
          <w:rFonts w:ascii="Arial Narrow" w:eastAsia="Times New Roman" w:hAnsi="Arial Narrow" w:cs="Times New Roman"/>
          <w:b/>
          <w:bCs/>
          <w:color w:val="000000"/>
          <w:sz w:val="27"/>
          <w:szCs w:val="27"/>
          <w:shd w:val="clear" w:color="auto" w:fill="FFFFFF"/>
        </w:rPr>
        <w:t>Nota: </w:t>
      </w:r>
      <w:r w:rsidRPr="00652EB7">
        <w:rPr>
          <w:rFonts w:ascii="Arial Narrow" w:eastAsia="Times New Roman" w:hAnsi="Arial Narrow" w:cs="Times New Roman"/>
          <w:b/>
          <w:bCs/>
          <w:color w:val="000080"/>
          <w:sz w:val="27"/>
          <w:szCs w:val="27"/>
          <w:shd w:val="clear" w:color="auto" w:fill="FFFFFF"/>
        </w:rPr>
        <w:t>El artículo Segundo Transitorio</w:t>
      </w:r>
      <w:r w:rsidRPr="00652EB7">
        <w:rPr>
          <w:rFonts w:ascii="Arial Narrow" w:eastAsia="Times New Roman" w:hAnsi="Arial Narrow" w:cs="Times New Roman"/>
          <w:color w:val="000000"/>
          <w:sz w:val="27"/>
          <w:szCs w:val="27"/>
          <w:shd w:val="clear" w:color="auto" w:fill="FFFFFF"/>
        </w:rPr>
        <w:t>, </w:t>
      </w:r>
      <w:r w:rsidRPr="00652EB7">
        <w:rPr>
          <w:rFonts w:ascii="Arial Narrow" w:eastAsia="Times New Roman" w:hAnsi="Arial Narrow" w:cs="Times New Roman"/>
          <w:b/>
          <w:bCs/>
          <w:color w:val="000080"/>
          <w:sz w:val="27"/>
          <w:szCs w:val="27"/>
          <w:shd w:val="clear" w:color="auto" w:fill="FFFFFF"/>
        </w:rPr>
        <w:t>primer párrafo de la NOM-016-CRE-2016, disponía que "</w:t>
      </w:r>
      <w:r w:rsidRPr="00652EB7">
        <w:rPr>
          <w:rFonts w:ascii="Arial Narrow" w:eastAsia="Times New Roman" w:hAnsi="Arial Narrow" w:cs="Times New Roman"/>
          <w:color w:val="000000"/>
          <w:sz w:val="27"/>
          <w:szCs w:val="27"/>
          <w:shd w:val="clear" w:color="auto" w:fill="FFFFFF"/>
        </w:rPr>
        <w:t>en tanto existen laboratorios acreditados y aprobados para efectuar alguna prueba conforme a las especificaciones establecidas en la presente NOM, se aceptarán informes de resultados de laboratorios acreditados para otras normas en el área de calidad de petrolíferos o, en su defecto, de laboratorios no acreditados, siempre que cuenten con la infraestructura necesaria.</w:t>
      </w:r>
      <w:r w:rsidRPr="00652EB7">
        <w:rPr>
          <w:rFonts w:ascii="Arial Narrow" w:eastAsia="Times New Roman" w:hAnsi="Arial Narrow" w:cs="Times New Roman"/>
          <w:b/>
          <w:bCs/>
          <w:color w:val="000080"/>
          <w:sz w:val="27"/>
          <w:szCs w:val="27"/>
          <w:shd w:val="clear" w:color="auto" w:fill="FFFFFF"/>
        </w:rPr>
        <w:t>"</w:t>
      </w:r>
      <w:r w:rsidRPr="00652EB7">
        <w:rPr>
          <w:rFonts w:ascii="Times" w:eastAsia="Times New Roman" w:hAnsi="Times" w:cs="Times New Roman"/>
          <w:color w:val="000000"/>
          <w:sz w:val="27"/>
          <w:szCs w:val="27"/>
        </w:rPr>
        <w:br/>
      </w:r>
    </w:p>
    <w:p w14:paraId="0D3C4C28" w14:textId="77777777" w:rsidR="00652EB7" w:rsidRPr="00652EB7" w:rsidRDefault="00652EB7" w:rsidP="00652EB7">
      <w:pPr>
        <w:numPr>
          <w:ilvl w:val="1"/>
          <w:numId w:val="8"/>
        </w:numPr>
        <w:shd w:val="clear" w:color="auto" w:fill="FFFFFF"/>
        <w:spacing w:before="100" w:beforeAutospacing="1" w:after="100" w:afterAutospacing="1"/>
        <w:jc w:val="both"/>
        <w:rPr>
          <w:rFonts w:ascii="Times" w:eastAsia="Times New Roman" w:hAnsi="Times" w:cs="Times New Roman"/>
          <w:color w:val="000000"/>
          <w:sz w:val="27"/>
          <w:szCs w:val="27"/>
        </w:rPr>
      </w:pPr>
      <w:r w:rsidRPr="00652EB7">
        <w:rPr>
          <w:rFonts w:ascii="Arial Narrow" w:eastAsia="Times New Roman" w:hAnsi="Arial Narrow" w:cs="Times New Roman"/>
          <w:color w:val="000000"/>
          <w:sz w:val="27"/>
          <w:szCs w:val="27"/>
        </w:rPr>
        <w:t>Establece que, a partir de la entrada en vigor del Acuerdo, </w:t>
      </w:r>
      <w:r w:rsidRPr="00652EB7">
        <w:rPr>
          <w:rFonts w:ascii="Arial Narrow" w:eastAsia="Times New Roman" w:hAnsi="Arial Narrow" w:cs="Times New Roman"/>
          <w:b/>
          <w:bCs/>
          <w:color w:val="000080"/>
          <w:sz w:val="27"/>
          <w:szCs w:val="27"/>
        </w:rPr>
        <w:t>únicamente los laboratorios acreditados y aprobado</w:t>
      </w:r>
      <w:r w:rsidRPr="00652EB7">
        <w:rPr>
          <w:rFonts w:ascii="Arial Narrow" w:eastAsia="Times New Roman" w:hAnsi="Arial Narrow" w:cs="Times New Roman"/>
          <w:color w:val="000000"/>
          <w:sz w:val="27"/>
          <w:szCs w:val="27"/>
        </w:rPr>
        <w:t>s para efectuar pruebas conforme a las especificaciones establecidas en la NOM-016-CRE-2016, podrán efectuar las pruebas establecidas en la misma.</w:t>
      </w:r>
    </w:p>
    <w:p w14:paraId="5D425E0B" w14:textId="77777777" w:rsidR="00652EB7" w:rsidRPr="00652EB7" w:rsidRDefault="00652EB7" w:rsidP="00652EB7">
      <w:pPr>
        <w:numPr>
          <w:ilvl w:val="1"/>
          <w:numId w:val="8"/>
        </w:numPr>
        <w:shd w:val="clear" w:color="auto" w:fill="FFFFFF"/>
        <w:spacing w:before="100" w:beforeAutospacing="1" w:after="100" w:afterAutospacing="1"/>
        <w:jc w:val="both"/>
        <w:rPr>
          <w:rFonts w:ascii="Times" w:eastAsia="Times New Roman" w:hAnsi="Times" w:cs="Times New Roman"/>
          <w:color w:val="000000"/>
          <w:sz w:val="27"/>
          <w:szCs w:val="27"/>
        </w:rPr>
      </w:pPr>
      <w:r w:rsidRPr="00652EB7">
        <w:rPr>
          <w:rFonts w:ascii="Arial Narrow" w:eastAsia="Times New Roman" w:hAnsi="Arial Narrow" w:cs="Times New Roman"/>
          <w:color w:val="000000"/>
          <w:sz w:val="27"/>
          <w:szCs w:val="27"/>
        </w:rPr>
        <w:lastRenderedPageBreak/>
        <w:t>Publicará y mantendrá actualizada en su página electrónica, la información referente a los laboratorios de prueba acreditados y aprobados para efectuar pruebas conforme a las especificaciones establecidas en la NOM-016-CRE-2016, así como las pruebas para las que no existen laboratorios de prueba acreditados y aprobados. Respecto de estas últimas pruebas, aquellas pruebas para las que no existan laboratorios aprobados, serán igualmente obligatorias y se podrán realizar por otros laboratorios, preferentemente acreditados.</w:t>
      </w:r>
    </w:p>
    <w:p w14:paraId="561EAFB7" w14:textId="77777777" w:rsidR="00652EB7" w:rsidRPr="00652EB7" w:rsidRDefault="00652EB7" w:rsidP="00652EB7">
      <w:pPr>
        <w:numPr>
          <w:ilvl w:val="1"/>
          <w:numId w:val="8"/>
        </w:numPr>
        <w:shd w:val="clear" w:color="auto" w:fill="FFFFFF"/>
        <w:spacing w:before="100" w:beforeAutospacing="1" w:after="100" w:afterAutospacing="1"/>
        <w:jc w:val="both"/>
        <w:rPr>
          <w:rFonts w:ascii="Times" w:eastAsia="Times New Roman" w:hAnsi="Times" w:cs="Times New Roman"/>
          <w:color w:val="000000"/>
          <w:sz w:val="27"/>
          <w:szCs w:val="27"/>
        </w:rPr>
      </w:pPr>
      <w:r w:rsidRPr="00652EB7">
        <w:rPr>
          <w:rFonts w:ascii="Arial Narrow" w:eastAsia="Times New Roman" w:hAnsi="Arial Narrow" w:cs="Times New Roman"/>
          <w:color w:val="000000"/>
          <w:sz w:val="27"/>
          <w:szCs w:val="27"/>
        </w:rPr>
        <w:t>Este Acuerdo no exime a los permisionarios de la obligación de mantener y entregar únicamente petrolíferos que cumplan con las especificaciones de calidad establecidas en la NOM-016-CRE-2016. De igual forma, el presente Acuerdo no interrumpe las visitas de verificación que la Comisión Reguladora de Energía programe para vigilar el cumplimiento de la Norma en mención.</w:t>
      </w:r>
    </w:p>
    <w:p w14:paraId="7247E754" w14:textId="64F28DF9" w:rsidR="00652EB7" w:rsidRPr="00652EB7" w:rsidRDefault="00652EB7" w:rsidP="00652EB7">
      <w:pPr>
        <w:jc w:val="both"/>
        <w:rPr>
          <w:rFonts w:ascii="Times" w:eastAsia="Times New Roman" w:hAnsi="Times" w:cs="Times New Roman"/>
          <w:sz w:val="20"/>
          <w:szCs w:val="20"/>
        </w:rPr>
      </w:pPr>
      <w:r w:rsidRPr="00652EB7">
        <w:rPr>
          <w:rFonts w:ascii="Times" w:eastAsia="Times New Roman" w:hAnsi="Times" w:cs="Times New Roman"/>
          <w:color w:val="000000"/>
          <w:sz w:val="27"/>
          <w:szCs w:val="27"/>
        </w:rPr>
        <w:br/>
      </w:r>
      <w:r w:rsidRPr="00652EB7">
        <w:rPr>
          <w:rFonts w:ascii="Times" w:eastAsia="Times New Roman" w:hAnsi="Times" w:cs="Times New Roman"/>
          <w:color w:val="000000"/>
          <w:sz w:val="27"/>
          <w:szCs w:val="27"/>
        </w:rPr>
        <w:br/>
      </w:r>
      <w:r w:rsidRPr="00652EB7">
        <w:rPr>
          <w:rFonts w:ascii="Times" w:eastAsia="Times New Roman" w:hAnsi="Times" w:cs="Times New Roman"/>
          <w:color w:val="000000"/>
          <w:sz w:val="27"/>
          <w:szCs w:val="27"/>
        </w:rPr>
        <w:br/>
      </w:r>
      <w:r w:rsidRPr="00652EB7">
        <w:rPr>
          <w:rFonts w:ascii="Arial Narrow" w:eastAsia="Times New Roman" w:hAnsi="Arial Narrow" w:cs="Times New Roman"/>
          <w:b/>
          <w:bCs/>
          <w:color w:val="FF0000"/>
          <w:sz w:val="27"/>
          <w:szCs w:val="27"/>
          <w:shd w:val="clear" w:color="auto" w:fill="FFFFFF"/>
        </w:rPr>
        <w:t>Nota: </w:t>
      </w:r>
      <w:r w:rsidRPr="00652EB7">
        <w:rPr>
          <w:rFonts w:ascii="Arial Narrow" w:eastAsia="Times New Roman" w:hAnsi="Arial Narrow" w:cs="Times New Roman"/>
          <w:color w:val="000000"/>
          <w:sz w:val="27"/>
          <w:szCs w:val="27"/>
          <w:shd w:val="clear" w:color="auto" w:fill="FFFFFF"/>
        </w:rPr>
        <w:t>El día de hoy se publicó en el D.O.F. el "</w:t>
      </w:r>
      <w:r w:rsidRPr="00652EB7">
        <w:rPr>
          <w:rFonts w:ascii="Arial Narrow" w:eastAsia="Times New Roman" w:hAnsi="Arial Narrow" w:cs="Times New Roman"/>
          <w:i/>
          <w:iCs/>
          <w:color w:val="000000"/>
          <w:sz w:val="27"/>
          <w:szCs w:val="27"/>
          <w:shd w:val="clear" w:color="auto" w:fill="FFFFFF"/>
        </w:rPr>
        <w:t>Acuerdo de la Comisión Reguladora de Energía por el que se aceptan como válidos, de manera temporal, los dictámenes de cumplimiento de la Norma Oficial Mexicana NOM-016-CRE-2016, Especificaciones de calidad de los petrolíferos, que al efecto emitan las unidades de verificación que sean personas morales aprobadas para evaluar la conformidad de otras normas oficiales mexicanas"</w:t>
      </w:r>
      <w:r>
        <w:rPr>
          <w:rFonts w:ascii="Times" w:eastAsia="Times New Roman" w:hAnsi="Times" w:cs="Times New Roman"/>
          <w:noProof/>
          <w:color w:val="0000FF"/>
          <w:sz w:val="27"/>
          <w:szCs w:val="27"/>
          <w:shd w:val="clear" w:color="auto" w:fill="FFFFFF"/>
          <w:lang w:val="es-ES"/>
        </w:rPr>
        <w:drawing>
          <wp:inline distT="0" distB="0" distL="0" distR="0" wp14:anchorId="40DEE15B" wp14:editId="1C222502">
            <wp:extent cx="147955" cy="174625"/>
            <wp:effectExtent l="0" t="0" r="4445" b="3175"/>
            <wp:docPr id="2" name="Imagen 2" descr="iario Ofici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rio Oficial">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 cy="174625"/>
                    </a:xfrm>
                    <a:prstGeom prst="rect">
                      <a:avLst/>
                    </a:prstGeom>
                    <a:noFill/>
                    <a:ln>
                      <a:noFill/>
                    </a:ln>
                  </pic:spPr>
                </pic:pic>
              </a:graphicData>
            </a:graphic>
          </wp:inline>
        </w:drawing>
      </w:r>
      <w:r w:rsidRPr="00652EB7">
        <w:rPr>
          <w:rFonts w:ascii="Arial Narrow" w:eastAsia="Times New Roman" w:hAnsi="Arial Narrow" w:cs="Times New Roman"/>
          <w:i/>
          <w:iCs/>
          <w:color w:val="000000"/>
          <w:sz w:val="27"/>
          <w:szCs w:val="27"/>
          <w:shd w:val="clear" w:color="auto" w:fill="FFFFFF"/>
        </w:rPr>
        <w:t>,</w:t>
      </w:r>
      <w:r w:rsidRPr="00652EB7">
        <w:rPr>
          <w:rFonts w:ascii="Arial Narrow" w:eastAsia="Times New Roman" w:hAnsi="Arial Narrow" w:cs="Times New Roman"/>
          <w:color w:val="000000"/>
          <w:sz w:val="27"/>
          <w:szCs w:val="27"/>
          <w:shd w:val="clear" w:color="auto" w:fill="FFFFFF"/>
        </w:rPr>
        <w:t> mediante el cual, </w:t>
      </w:r>
      <w:r w:rsidRPr="00652EB7">
        <w:rPr>
          <w:rFonts w:ascii="Arial Narrow" w:eastAsia="Times New Roman" w:hAnsi="Arial Narrow" w:cs="Times New Roman"/>
          <w:b/>
          <w:bCs/>
          <w:color w:val="000000"/>
          <w:sz w:val="27"/>
          <w:szCs w:val="27"/>
          <w:u w:val="single"/>
          <w:shd w:val="clear" w:color="auto" w:fill="FFFFFF"/>
        </w:rPr>
        <w:t>se prevé quienes podrán emitir los dictámenes de cumplimiento de la </w:t>
      </w:r>
      <w:r w:rsidRPr="00652EB7">
        <w:rPr>
          <w:rFonts w:ascii="Arial Narrow" w:eastAsia="Times New Roman" w:hAnsi="Arial Narrow" w:cs="Times New Roman"/>
          <w:b/>
          <w:bCs/>
          <w:color w:val="000080"/>
          <w:sz w:val="27"/>
          <w:szCs w:val="27"/>
          <w:u w:val="single"/>
          <w:shd w:val="clear" w:color="auto" w:fill="FFFFFF"/>
        </w:rPr>
        <w:t>NOM-016-CRE-2016</w:t>
      </w:r>
      <w:r w:rsidRPr="00652EB7">
        <w:rPr>
          <w:rFonts w:ascii="Arial Narrow" w:eastAsia="Times New Roman" w:hAnsi="Arial Narrow" w:cs="Times New Roman"/>
          <w:b/>
          <w:bCs/>
          <w:color w:val="000000"/>
          <w:sz w:val="27"/>
          <w:szCs w:val="27"/>
          <w:u w:val="single"/>
          <w:shd w:val="clear" w:color="auto" w:fill="FFFFFF"/>
        </w:rPr>
        <w:t>, por lo que, les recomendamos que sea consultado y observado al momento de realizar sus operaciones de comercio exterior donde se involucren productos sujetos a la NOM en comento.</w:t>
      </w:r>
      <w:r w:rsidRPr="00652EB7">
        <w:rPr>
          <w:rFonts w:ascii="Times" w:eastAsia="Times New Roman" w:hAnsi="Times" w:cs="Times New Roman"/>
          <w:color w:val="000000"/>
          <w:sz w:val="27"/>
          <w:szCs w:val="27"/>
        </w:rPr>
        <w:br/>
      </w:r>
      <w:r w:rsidRPr="00652EB7">
        <w:rPr>
          <w:rFonts w:ascii="Times" w:eastAsia="Times New Roman" w:hAnsi="Times" w:cs="Times New Roman"/>
          <w:color w:val="000000"/>
          <w:sz w:val="27"/>
          <w:szCs w:val="27"/>
        </w:rPr>
        <w:br/>
      </w:r>
      <w:r w:rsidRPr="00652EB7">
        <w:rPr>
          <w:rFonts w:ascii="Arial Narrow" w:eastAsia="Times New Roman" w:hAnsi="Arial Narrow" w:cs="Times New Roman"/>
          <w:color w:val="000000"/>
          <w:sz w:val="27"/>
          <w:szCs w:val="27"/>
          <w:shd w:val="clear" w:color="auto" w:fill="FFFFFF"/>
        </w:rPr>
        <w:t>El presente Acuerdo se encuentra en la base de datos de CAAAREM para su consulta </w:t>
      </w:r>
      <w:r>
        <w:rPr>
          <w:rFonts w:ascii="Times" w:eastAsia="Times New Roman" w:hAnsi="Times" w:cs="Times New Roman"/>
          <w:noProof/>
          <w:color w:val="0000FF"/>
          <w:sz w:val="27"/>
          <w:szCs w:val="27"/>
          <w:shd w:val="clear" w:color="auto" w:fill="FFFFFF"/>
          <w:lang w:val="es-ES"/>
        </w:rPr>
        <w:drawing>
          <wp:inline distT="0" distB="0" distL="0" distR="0" wp14:anchorId="4178382D" wp14:editId="63CD1581">
            <wp:extent cx="147955" cy="174625"/>
            <wp:effectExtent l="0" t="0" r="4445" b="3175"/>
            <wp:docPr id="3" name="Imagen 3" descr="iario Ofici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rio Oficial">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 cy="174625"/>
                    </a:xfrm>
                    <a:prstGeom prst="rect">
                      <a:avLst/>
                    </a:prstGeom>
                    <a:noFill/>
                    <a:ln>
                      <a:noFill/>
                    </a:ln>
                  </pic:spPr>
                </pic:pic>
              </a:graphicData>
            </a:graphic>
          </wp:inline>
        </w:drawing>
      </w:r>
      <w:r w:rsidRPr="00652EB7">
        <w:rPr>
          <w:rFonts w:ascii="Arial Narrow" w:eastAsia="Times New Roman" w:hAnsi="Arial Narrow" w:cs="Times New Roman"/>
          <w:color w:val="000000"/>
          <w:sz w:val="27"/>
          <w:szCs w:val="27"/>
          <w:shd w:val="clear" w:color="auto" w:fill="FFFFFF"/>
        </w:rPr>
        <w:t>.</w:t>
      </w:r>
      <w:r w:rsidRPr="00652EB7">
        <w:rPr>
          <w:rFonts w:ascii="Times" w:eastAsia="Times New Roman" w:hAnsi="Times" w:cs="Times New Roman"/>
          <w:color w:val="000000"/>
          <w:sz w:val="27"/>
          <w:szCs w:val="27"/>
        </w:rPr>
        <w:br/>
      </w:r>
      <w:r w:rsidRPr="00652EB7">
        <w:rPr>
          <w:rFonts w:ascii="Times" w:eastAsia="Times New Roman" w:hAnsi="Times" w:cs="Times New Roman"/>
          <w:color w:val="000000"/>
          <w:sz w:val="27"/>
          <w:szCs w:val="27"/>
        </w:rPr>
        <w:br/>
      </w:r>
      <w:r w:rsidRPr="00652EB7">
        <w:rPr>
          <w:rFonts w:ascii="Times" w:eastAsia="Times New Roman" w:hAnsi="Times" w:cs="Times New Roman"/>
          <w:color w:val="000000"/>
          <w:sz w:val="27"/>
          <w:szCs w:val="27"/>
        </w:rPr>
        <w:br/>
      </w:r>
      <w:r w:rsidRPr="00652EB7">
        <w:rPr>
          <w:rFonts w:ascii="Times" w:eastAsia="Times New Roman" w:hAnsi="Times" w:cs="Times New Roman"/>
          <w:color w:val="000000"/>
          <w:sz w:val="27"/>
          <w:szCs w:val="27"/>
        </w:rPr>
        <w:br/>
      </w:r>
      <w:r w:rsidRPr="00652EB7">
        <w:rPr>
          <w:rFonts w:ascii="Times" w:eastAsia="Times New Roman" w:hAnsi="Times" w:cs="Times New Roman"/>
          <w:color w:val="000000"/>
          <w:sz w:val="27"/>
          <w:szCs w:val="27"/>
        </w:rPr>
        <w:br/>
      </w:r>
    </w:p>
    <w:p w14:paraId="4B827847" w14:textId="77777777" w:rsidR="00652EB7" w:rsidRPr="00652EB7" w:rsidRDefault="00652EB7" w:rsidP="00652EB7">
      <w:pPr>
        <w:shd w:val="clear" w:color="auto" w:fill="FFFFFF"/>
        <w:jc w:val="center"/>
        <w:rPr>
          <w:rFonts w:ascii="Times" w:eastAsia="Times New Roman" w:hAnsi="Times" w:cs="Times New Roman"/>
          <w:color w:val="000000"/>
          <w:sz w:val="27"/>
          <w:szCs w:val="27"/>
        </w:rPr>
      </w:pPr>
      <w:r w:rsidRPr="00652EB7">
        <w:rPr>
          <w:rFonts w:ascii="Century Gothic" w:eastAsia="Times New Roman" w:hAnsi="Century Gothic" w:cs="Times New Roman"/>
          <w:b/>
          <w:bCs/>
          <w:color w:val="000000"/>
          <w:sz w:val="27"/>
          <w:szCs w:val="27"/>
        </w:rPr>
        <w:t>ATENTAMENTE</w:t>
      </w:r>
      <w:r w:rsidRPr="00652EB7">
        <w:rPr>
          <w:rFonts w:ascii="Times" w:eastAsia="Times New Roman" w:hAnsi="Times" w:cs="Times New Roman"/>
          <w:color w:val="000000"/>
          <w:sz w:val="27"/>
          <w:szCs w:val="27"/>
        </w:rPr>
        <w:br/>
      </w:r>
      <w:r w:rsidRPr="00652EB7">
        <w:rPr>
          <w:rFonts w:ascii="Times" w:eastAsia="Times New Roman" w:hAnsi="Times" w:cs="Times New Roman"/>
          <w:color w:val="000000"/>
          <w:sz w:val="27"/>
          <w:szCs w:val="27"/>
        </w:rPr>
        <w:br/>
      </w:r>
      <w:r w:rsidRPr="00652EB7">
        <w:rPr>
          <w:rFonts w:ascii="Times" w:eastAsia="Times New Roman" w:hAnsi="Times" w:cs="Times New Roman"/>
          <w:color w:val="000000"/>
          <w:sz w:val="27"/>
          <w:szCs w:val="27"/>
        </w:rPr>
        <w:br/>
      </w:r>
      <w:r w:rsidRPr="00652EB7">
        <w:rPr>
          <w:rFonts w:ascii="Century Gothic" w:eastAsia="Times New Roman" w:hAnsi="Century Gothic" w:cs="Times New Roman"/>
          <w:b/>
          <w:bCs/>
          <w:color w:val="000000"/>
          <w:sz w:val="27"/>
          <w:szCs w:val="27"/>
        </w:rPr>
        <w:t>RUBEN DARIO RODRIGUEZ LARIOS</w:t>
      </w:r>
      <w:r w:rsidRPr="00652EB7">
        <w:rPr>
          <w:rFonts w:ascii="Times" w:eastAsia="Times New Roman" w:hAnsi="Times" w:cs="Times New Roman"/>
          <w:color w:val="000000"/>
          <w:sz w:val="27"/>
          <w:szCs w:val="27"/>
        </w:rPr>
        <w:br/>
      </w:r>
      <w:r w:rsidRPr="00652EB7">
        <w:rPr>
          <w:rFonts w:ascii="Century Gothic" w:eastAsia="Times New Roman" w:hAnsi="Century Gothic" w:cs="Times New Roman"/>
          <w:b/>
          <w:bCs/>
          <w:color w:val="000000"/>
          <w:sz w:val="27"/>
          <w:szCs w:val="27"/>
        </w:rPr>
        <w:t>DIRECTOR GENERAL</w:t>
      </w:r>
      <w:r w:rsidRPr="00652EB7">
        <w:rPr>
          <w:rFonts w:ascii="Times" w:eastAsia="Times New Roman" w:hAnsi="Times" w:cs="Times New Roman"/>
          <w:color w:val="000000"/>
          <w:sz w:val="27"/>
          <w:szCs w:val="27"/>
        </w:rPr>
        <w:br/>
      </w:r>
      <w:r w:rsidRPr="00652EB7">
        <w:rPr>
          <w:rFonts w:ascii="Century Gothic" w:eastAsia="Times New Roman" w:hAnsi="Century Gothic" w:cs="Times New Roman"/>
          <w:b/>
          <w:bCs/>
          <w:color w:val="000000"/>
          <w:sz w:val="27"/>
          <w:szCs w:val="27"/>
        </w:rPr>
        <w:t>RUBRICA</w:t>
      </w:r>
    </w:p>
    <w:p w14:paraId="674D11E2" w14:textId="77777777" w:rsidR="00652EB7" w:rsidRPr="00652EB7" w:rsidRDefault="00652EB7" w:rsidP="00652EB7">
      <w:pPr>
        <w:rPr>
          <w:rFonts w:ascii="Times" w:eastAsia="Times New Roman" w:hAnsi="Times" w:cs="Times New Roman"/>
          <w:sz w:val="20"/>
          <w:szCs w:val="20"/>
        </w:rPr>
      </w:pPr>
      <w:r w:rsidRPr="00652EB7">
        <w:rPr>
          <w:rFonts w:ascii="Times" w:eastAsia="Times New Roman" w:hAnsi="Times" w:cs="Times New Roman"/>
          <w:color w:val="000000"/>
          <w:sz w:val="27"/>
          <w:szCs w:val="27"/>
        </w:rPr>
        <w:br/>
      </w:r>
      <w:r w:rsidRPr="00652EB7">
        <w:rPr>
          <w:rFonts w:ascii="Times" w:eastAsia="Times New Roman" w:hAnsi="Times" w:cs="Times New Roman"/>
          <w:color w:val="000000"/>
          <w:sz w:val="27"/>
          <w:szCs w:val="27"/>
        </w:rPr>
        <w:br/>
      </w:r>
      <w:r w:rsidRPr="00652EB7">
        <w:rPr>
          <w:rFonts w:ascii="Times" w:eastAsia="Times New Roman" w:hAnsi="Times" w:cs="Times New Roman"/>
          <w:color w:val="000000"/>
          <w:sz w:val="27"/>
          <w:szCs w:val="27"/>
        </w:rPr>
        <w:br/>
      </w:r>
      <w:r w:rsidRPr="00652EB7">
        <w:rPr>
          <w:rFonts w:ascii="Times" w:eastAsia="Times New Roman" w:hAnsi="Times" w:cs="Times New Roman"/>
          <w:color w:val="000000"/>
          <w:sz w:val="27"/>
          <w:szCs w:val="27"/>
        </w:rPr>
        <w:br/>
      </w:r>
      <w:r w:rsidRPr="00652EB7">
        <w:rPr>
          <w:rFonts w:ascii="Times" w:eastAsia="Times New Roman" w:hAnsi="Times" w:cs="Times New Roman"/>
          <w:color w:val="000000"/>
          <w:sz w:val="27"/>
          <w:szCs w:val="27"/>
        </w:rPr>
        <w:br/>
      </w:r>
      <w:r w:rsidRPr="00652EB7">
        <w:rPr>
          <w:rFonts w:ascii="Century Gothic" w:eastAsia="Times New Roman" w:hAnsi="Century Gothic" w:cs="Times New Roman"/>
          <w:color w:val="0082BF"/>
          <w:sz w:val="20"/>
          <w:szCs w:val="20"/>
          <w:shd w:val="clear" w:color="auto" w:fill="FFFFFF"/>
        </w:rPr>
        <w:t>LRV/UMB/ACG</w:t>
      </w:r>
    </w:p>
    <w:p w14:paraId="159ABB66" w14:textId="77777777" w:rsidR="00E746FE" w:rsidRDefault="00E746FE" w:rsidP="00652EB7">
      <w:pPr>
        <w:shd w:val="clear" w:color="auto" w:fill="FFFFFF"/>
        <w:jc w:val="right"/>
      </w:pPr>
    </w:p>
    <w:sectPr w:rsidR="00E746FE" w:rsidSect="00E746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F9C"/>
    <w:multiLevelType w:val="multilevel"/>
    <w:tmpl w:val="727C9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D2AF9"/>
    <w:multiLevelType w:val="multilevel"/>
    <w:tmpl w:val="9A040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A40E4"/>
    <w:multiLevelType w:val="multilevel"/>
    <w:tmpl w:val="782C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D27E5"/>
    <w:multiLevelType w:val="multilevel"/>
    <w:tmpl w:val="83C8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D109DB"/>
    <w:multiLevelType w:val="multilevel"/>
    <w:tmpl w:val="7A2C6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91C19"/>
    <w:multiLevelType w:val="multilevel"/>
    <w:tmpl w:val="53B6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85396E"/>
    <w:multiLevelType w:val="multilevel"/>
    <w:tmpl w:val="F0F8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CF0050"/>
    <w:multiLevelType w:val="multilevel"/>
    <w:tmpl w:val="37A8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3"/>
  </w:num>
  <w:num w:numId="5">
    <w:abstractNumId w:val="5"/>
  </w:num>
  <w:num w:numId="6">
    <w:abstractNumId w:val="7"/>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34"/>
    <w:rsid w:val="001E63D7"/>
    <w:rsid w:val="00586E34"/>
    <w:rsid w:val="00652EB7"/>
    <w:rsid w:val="00E746FE"/>
    <w:rsid w:val="00F76B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AE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6E34"/>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586E3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86E3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6E34"/>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586E3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86E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0481">
      <w:bodyDiv w:val="1"/>
      <w:marLeft w:val="0"/>
      <w:marRight w:val="0"/>
      <w:marTop w:val="0"/>
      <w:marBottom w:val="0"/>
      <w:divBdr>
        <w:top w:val="none" w:sz="0" w:space="0" w:color="auto"/>
        <w:left w:val="none" w:sz="0" w:space="0" w:color="auto"/>
        <w:bottom w:val="none" w:sz="0" w:space="0" w:color="auto"/>
        <w:right w:val="none" w:sz="0" w:space="0" w:color="auto"/>
      </w:divBdr>
    </w:div>
    <w:div w:id="318507674">
      <w:bodyDiv w:val="1"/>
      <w:marLeft w:val="0"/>
      <w:marRight w:val="0"/>
      <w:marTop w:val="0"/>
      <w:marBottom w:val="0"/>
      <w:divBdr>
        <w:top w:val="none" w:sz="0" w:space="0" w:color="auto"/>
        <w:left w:val="none" w:sz="0" w:space="0" w:color="auto"/>
        <w:bottom w:val="none" w:sz="0" w:space="0" w:color="auto"/>
        <w:right w:val="none" w:sz="0" w:space="0" w:color="auto"/>
      </w:divBdr>
    </w:div>
    <w:div w:id="797139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aaarem.mx/Bases/LeyFMN.nsf/56e1f72a4dcc160c86256545006b6424/e5aa295161e9283086257fb1004f5e8d?OpenDocument" TargetMode="External"/><Relationship Id="rId8" Type="http://schemas.openxmlformats.org/officeDocument/2006/relationships/image" Target="media/image2.gif"/><Relationship Id="rId9" Type="http://schemas.openxmlformats.org/officeDocument/2006/relationships/hyperlink" Target="http://www.caaarem.mx/Bases/DiaOfic.nsf/7a19c73e3b37bd9a06256291005e3a98/518a8322e00d36e68625826a0048fe0a?OpenDocument" TargetMode="External"/><Relationship Id="rId10" Type="http://schemas.openxmlformats.org/officeDocument/2006/relationships/hyperlink" Target="http://www.caaarem.mx/Bases/DiaOfic.nsf/7a19c73e3b37bd9a06256291005e3a98/cbf4b699e8b772d68625826a0048dee6?OpenDocu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2839</Characters>
  <Application>Microsoft Macintosh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 Jesús  Palmeros Acuña</dc:creator>
  <cp:keywords/>
  <dc:description/>
  <cp:lastModifiedBy>Javier de Jesús  Palmeros Acuña</cp:lastModifiedBy>
  <cp:revision>2</cp:revision>
  <dcterms:created xsi:type="dcterms:W3CDTF">2018-04-10T13:27:00Z</dcterms:created>
  <dcterms:modified xsi:type="dcterms:W3CDTF">2018-04-10T13:27:00Z</dcterms:modified>
</cp:coreProperties>
</file>