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B16A" w14:textId="77777777" w:rsidR="00606C6B" w:rsidRPr="00AF7E60" w:rsidRDefault="00606C6B" w:rsidP="00606C6B">
      <w:pPr>
        <w:pStyle w:val="CABEZA"/>
        <w:pBdr>
          <w:bottom w:val="single" w:sz="4" w:space="1" w:color="auto"/>
        </w:pBdr>
        <w:ind w:left="1412" w:right="922"/>
        <w:rPr>
          <w:rFonts w:cs="Times New Roman"/>
        </w:rPr>
      </w:pPr>
      <w:bookmarkStart w:id="0" w:name="_Hlk187043187"/>
      <w:r w:rsidRPr="00AF7E60">
        <w:rPr>
          <w:rFonts w:cs="Times New Roman"/>
        </w:rPr>
        <w:t>PODER EJECUTIVO</w:t>
      </w:r>
    </w:p>
    <w:p w14:paraId="24132C57" w14:textId="77777777" w:rsidR="00606C6B" w:rsidRDefault="00606C6B" w:rsidP="00606C6B">
      <w:pPr>
        <w:pStyle w:val="CABEZA"/>
        <w:ind w:left="490"/>
      </w:pPr>
      <w:r>
        <w:t>SECRETARIA DE HACIENDA Y CREDITO PUBLICO</w:t>
      </w:r>
    </w:p>
    <w:bookmarkEnd w:id="0"/>
    <w:p w14:paraId="389030F9" w14:textId="5DEBE488" w:rsidR="00606C6B" w:rsidRPr="00015FDF" w:rsidRDefault="00606C6B" w:rsidP="00606C6B">
      <w:pPr>
        <w:pStyle w:val="texto0"/>
        <w:snapToGrid/>
        <w:spacing w:line="353" w:lineRule="exact"/>
        <w:rPr>
          <w:sz w:val="16"/>
          <w:szCs w:val="16"/>
        </w:rPr>
      </w:pPr>
      <w:r w:rsidRPr="00015FDF">
        <w:rPr>
          <w:sz w:val="16"/>
          <w:szCs w:val="16"/>
        </w:rPr>
        <w:t>ANEXO 18 DE LAS REGLAS GENERALES DE COMERCIO EXTERIOR PARA 2025</w:t>
      </w:r>
    </w:p>
    <w:p w14:paraId="0EB38D90" w14:textId="77777777" w:rsidR="00606C6B" w:rsidRPr="00536BE6" w:rsidRDefault="00606C6B" w:rsidP="00606C6B">
      <w:pPr>
        <w:pStyle w:val="Texto"/>
        <w:spacing w:line="353" w:lineRule="exact"/>
        <w:ind w:firstLine="0"/>
        <w:jc w:val="center"/>
        <w:rPr>
          <w:b/>
        </w:rPr>
      </w:pPr>
      <w:r w:rsidRPr="00536BE6">
        <w:rPr>
          <w:b/>
        </w:rPr>
        <w:t>Mercancías que no pueden ser objeto del régimen aduanero de depósito fiscal</w:t>
      </w:r>
    </w:p>
    <w:p w14:paraId="194A7D45" w14:textId="77777777" w:rsidR="00606C6B" w:rsidRPr="00536BE6" w:rsidRDefault="00606C6B" w:rsidP="00606C6B">
      <w:pPr>
        <w:pStyle w:val="Texto"/>
        <w:spacing w:line="353" w:lineRule="exact"/>
      </w:pPr>
      <w:r w:rsidRPr="00536BE6">
        <w:t>Para los efectos del artículo 123 de la Ley, en relación con la regla 4.5.9., se dan a conocer las mercancías que no podrán ser objeto del régimen aduanero de depósito fiscal, señaladas a continuación:</w:t>
      </w:r>
    </w:p>
    <w:p w14:paraId="59B47D22" w14:textId="77777777" w:rsidR="00606C6B" w:rsidRPr="00536BE6" w:rsidRDefault="00606C6B" w:rsidP="00606C6B">
      <w:pPr>
        <w:pStyle w:val="texto0"/>
        <w:spacing w:line="353" w:lineRule="exact"/>
        <w:ind w:left="792" w:hanging="504"/>
      </w:pPr>
      <w:r w:rsidRPr="00536BE6">
        <w:rPr>
          <w:b/>
        </w:rPr>
        <w:t>I.</w:t>
      </w:r>
      <w:r w:rsidRPr="00536BE6">
        <w:tab/>
        <w:t>Armas.</w:t>
      </w:r>
    </w:p>
    <w:p w14:paraId="7C315C9C" w14:textId="77777777" w:rsidR="00606C6B" w:rsidRPr="00536BE6" w:rsidRDefault="00606C6B" w:rsidP="00606C6B">
      <w:pPr>
        <w:pStyle w:val="texto0"/>
        <w:spacing w:line="353" w:lineRule="exact"/>
        <w:ind w:left="792" w:hanging="504"/>
      </w:pPr>
      <w:r w:rsidRPr="00536BE6">
        <w:rPr>
          <w:b/>
        </w:rPr>
        <w:t>II.</w:t>
      </w:r>
      <w:r w:rsidRPr="00536BE6">
        <w:tab/>
        <w:t>Municiones.</w:t>
      </w:r>
    </w:p>
    <w:p w14:paraId="0CBAD605" w14:textId="77777777" w:rsidR="00606C6B" w:rsidRPr="00536BE6" w:rsidRDefault="00606C6B" w:rsidP="00606C6B">
      <w:pPr>
        <w:pStyle w:val="texto0"/>
        <w:spacing w:line="353" w:lineRule="exact"/>
        <w:ind w:left="792" w:hanging="504"/>
      </w:pPr>
      <w:r w:rsidRPr="00536BE6">
        <w:rPr>
          <w:b/>
        </w:rPr>
        <w:t>III.</w:t>
      </w:r>
      <w:r w:rsidRPr="00536BE6">
        <w:tab/>
        <w:t>Mercancías explosivas.</w:t>
      </w:r>
    </w:p>
    <w:p w14:paraId="76B12F57" w14:textId="77777777" w:rsidR="00606C6B" w:rsidRPr="00536BE6" w:rsidRDefault="00606C6B" w:rsidP="00606C6B">
      <w:pPr>
        <w:pStyle w:val="texto0"/>
        <w:spacing w:line="353" w:lineRule="exact"/>
        <w:ind w:left="792" w:hanging="504"/>
      </w:pPr>
      <w:r w:rsidRPr="00536BE6">
        <w:rPr>
          <w:b/>
        </w:rPr>
        <w:t>IV.</w:t>
      </w:r>
      <w:r w:rsidRPr="00536BE6">
        <w:tab/>
        <w:t>Radioactivas.</w:t>
      </w:r>
    </w:p>
    <w:p w14:paraId="06721F49" w14:textId="77777777" w:rsidR="00606C6B" w:rsidRPr="00536BE6" w:rsidRDefault="00606C6B" w:rsidP="00606C6B">
      <w:pPr>
        <w:pStyle w:val="texto0"/>
        <w:spacing w:line="353" w:lineRule="exact"/>
        <w:ind w:left="792" w:hanging="504"/>
      </w:pPr>
      <w:r w:rsidRPr="00536BE6">
        <w:rPr>
          <w:b/>
        </w:rPr>
        <w:t>V.</w:t>
      </w:r>
      <w:r w:rsidRPr="00536BE6">
        <w:tab/>
        <w:t>Radiactivas.</w:t>
      </w:r>
    </w:p>
    <w:p w14:paraId="6326DE9A" w14:textId="77777777" w:rsidR="00606C6B" w:rsidRPr="00536BE6" w:rsidRDefault="00606C6B" w:rsidP="00606C6B">
      <w:pPr>
        <w:pStyle w:val="texto0"/>
        <w:spacing w:line="353" w:lineRule="exact"/>
        <w:ind w:left="792" w:hanging="504"/>
      </w:pPr>
      <w:r w:rsidRPr="00536BE6">
        <w:rPr>
          <w:b/>
        </w:rPr>
        <w:t>VI.</w:t>
      </w:r>
      <w:r w:rsidRPr="00536BE6">
        <w:tab/>
        <w:t>Nucleares y contaminantes.</w:t>
      </w:r>
    </w:p>
    <w:p w14:paraId="6536A4CB" w14:textId="77777777" w:rsidR="00606C6B" w:rsidRPr="00536BE6" w:rsidRDefault="00606C6B" w:rsidP="00606C6B">
      <w:pPr>
        <w:pStyle w:val="texto0"/>
        <w:spacing w:line="353" w:lineRule="exact"/>
        <w:ind w:left="792" w:hanging="504"/>
      </w:pPr>
      <w:r w:rsidRPr="00536BE6">
        <w:rPr>
          <w:b/>
        </w:rPr>
        <w:t>VII.</w:t>
      </w:r>
      <w:r w:rsidRPr="00536BE6">
        <w:tab/>
        <w:t>Precursores químicos y químicos esenciales.</w:t>
      </w:r>
    </w:p>
    <w:p w14:paraId="7C5CDA55" w14:textId="77777777" w:rsidR="00606C6B" w:rsidRPr="00536BE6" w:rsidRDefault="00606C6B" w:rsidP="00606C6B">
      <w:pPr>
        <w:pStyle w:val="texto0"/>
        <w:spacing w:line="353" w:lineRule="exact"/>
        <w:ind w:left="792" w:hanging="504"/>
      </w:pPr>
      <w:r w:rsidRPr="00536BE6">
        <w:rPr>
          <w:b/>
        </w:rPr>
        <w:t>VIII.</w:t>
      </w:r>
      <w:r w:rsidRPr="00536BE6">
        <w:tab/>
        <w:t>Diamantes, brillantes, rubíes, zafiros, esmeraldas y perlas naturales o cultivadas o las manufacturas de joyería hechas con metales preciosos o con las piedras o perlas mencionadas.</w:t>
      </w:r>
    </w:p>
    <w:p w14:paraId="1130DFE0" w14:textId="77777777" w:rsidR="00606C6B" w:rsidRPr="00536BE6" w:rsidRDefault="00606C6B" w:rsidP="00606C6B">
      <w:pPr>
        <w:pStyle w:val="texto0"/>
        <w:spacing w:line="353" w:lineRule="exact"/>
        <w:ind w:left="792" w:hanging="504"/>
      </w:pPr>
      <w:r w:rsidRPr="00536BE6">
        <w:rPr>
          <w:b/>
        </w:rPr>
        <w:t>IX.</w:t>
      </w:r>
      <w:r w:rsidRPr="00536BE6">
        <w:tab/>
        <w:t>Relojes.</w:t>
      </w:r>
    </w:p>
    <w:p w14:paraId="1B09448E" w14:textId="77777777" w:rsidR="00606C6B" w:rsidRPr="00536BE6" w:rsidRDefault="00606C6B" w:rsidP="00606C6B">
      <w:pPr>
        <w:pStyle w:val="texto0"/>
        <w:spacing w:line="353" w:lineRule="exact"/>
        <w:ind w:left="792" w:hanging="504"/>
      </w:pPr>
      <w:r w:rsidRPr="00536BE6">
        <w:rPr>
          <w:b/>
        </w:rPr>
        <w:t>X.</w:t>
      </w:r>
      <w:r w:rsidRPr="00536BE6">
        <w:tab/>
        <w:t>Artículos de jade, coral, marfil y ámbar.</w:t>
      </w:r>
    </w:p>
    <w:p w14:paraId="4D97CD8F" w14:textId="77777777" w:rsidR="00606C6B" w:rsidRPr="00536BE6" w:rsidRDefault="00606C6B" w:rsidP="00606C6B">
      <w:pPr>
        <w:pStyle w:val="texto0"/>
        <w:spacing w:line="353" w:lineRule="exact"/>
        <w:ind w:left="792" w:hanging="504"/>
      </w:pPr>
      <w:r w:rsidRPr="00536BE6">
        <w:rPr>
          <w:b/>
        </w:rPr>
        <w:t>XI.</w:t>
      </w:r>
      <w:r w:rsidRPr="00536BE6">
        <w:tab/>
        <w:t>Las listadas en el Anexo 10, fracción I, sector 9 “Cigarros”.</w:t>
      </w:r>
    </w:p>
    <w:p w14:paraId="53B5B5D9" w14:textId="77777777" w:rsidR="00606C6B" w:rsidRPr="00536BE6" w:rsidRDefault="00606C6B" w:rsidP="00606C6B">
      <w:pPr>
        <w:pStyle w:val="texto0"/>
        <w:spacing w:line="353" w:lineRule="exact"/>
        <w:ind w:left="792" w:hanging="504"/>
      </w:pPr>
      <w:r w:rsidRPr="00536BE6">
        <w:rPr>
          <w:b/>
        </w:rPr>
        <w:t>XII.</w:t>
      </w:r>
      <w:r w:rsidRPr="00536BE6">
        <w:tab/>
        <w:t>Las listadas en el Anexo 29.</w:t>
      </w:r>
    </w:p>
    <w:p w14:paraId="7D0E29EF" w14:textId="77777777" w:rsidR="00606C6B" w:rsidRPr="00536BE6" w:rsidRDefault="00606C6B" w:rsidP="00606C6B">
      <w:pPr>
        <w:pStyle w:val="texto0"/>
        <w:spacing w:line="353" w:lineRule="exact"/>
        <w:ind w:left="792" w:hanging="504"/>
      </w:pPr>
      <w:r w:rsidRPr="00536BE6">
        <w:rPr>
          <w:b/>
        </w:rPr>
        <w:t>XIII.</w:t>
      </w:r>
      <w:r w:rsidRPr="00536BE6">
        <w:tab/>
        <w:t>Las clasificadas en la partida 17.01 de la TIGIE.</w:t>
      </w:r>
    </w:p>
    <w:p w14:paraId="236BA971" w14:textId="77777777" w:rsidR="00606C6B" w:rsidRPr="00536BE6" w:rsidRDefault="00606C6B" w:rsidP="00606C6B">
      <w:pPr>
        <w:pStyle w:val="texto0"/>
        <w:spacing w:line="353" w:lineRule="exact"/>
        <w:ind w:left="792" w:hanging="504"/>
      </w:pPr>
      <w:r w:rsidRPr="00536BE6">
        <w:rPr>
          <w:b/>
        </w:rPr>
        <w:t>XIV.</w:t>
      </w:r>
      <w:r w:rsidRPr="00536BE6">
        <w:tab/>
        <w:t>Las clasificadas en los capítulos 50 a 64 de la TIGIE.</w:t>
      </w:r>
    </w:p>
    <w:p w14:paraId="74501203" w14:textId="77777777" w:rsidR="00606C6B" w:rsidRPr="00536BE6" w:rsidRDefault="00606C6B" w:rsidP="00606C6B">
      <w:pPr>
        <w:pStyle w:val="texto0"/>
        <w:spacing w:line="353" w:lineRule="exact"/>
        <w:ind w:left="792" w:hanging="504"/>
      </w:pPr>
      <w:r w:rsidRPr="00536BE6">
        <w:rPr>
          <w:b/>
        </w:rPr>
        <w:t>XV.</w:t>
      </w:r>
      <w:r w:rsidRPr="00536BE6">
        <w:tab/>
        <w:t>Las clasificadas en las partidas 95.03 y 95.04 de la TIGIE, cuando sean introducidas por personas físicas o morales residentes en el extranjero.</w:t>
      </w:r>
    </w:p>
    <w:p w14:paraId="3ED0059C" w14:textId="77777777" w:rsidR="00606C6B" w:rsidRPr="00536BE6" w:rsidRDefault="00606C6B" w:rsidP="00606C6B">
      <w:pPr>
        <w:pStyle w:val="texto0"/>
        <w:spacing w:line="353" w:lineRule="exact"/>
        <w:ind w:left="792" w:hanging="504"/>
      </w:pPr>
      <w:r w:rsidRPr="00536BE6">
        <w:rPr>
          <w:b/>
        </w:rPr>
        <w:t>XVI.</w:t>
      </w:r>
      <w:r w:rsidRPr="00536BE6">
        <w:tab/>
        <w:t>Los vehículos, excepto los clasificados en las fracciones arancelarias y en los NICO 8703.21.01 00, 8704.31.02 00 y 8704.51.02 00 y en la partida 87.11 de la TIGIE, así como los clasificados en las fracciones arancelarias y NICO 8703.10.04 02, 8709.11.01 00, 8709.19.99 00, 8709.90.01 00, 8713.10.01 00, 8713.90.99 00, 8715.00.01 00 y 8715.00.02 00, siempre que las empresas que introduzcan a depósito fiscal vehículos clasificados en estas últimas fracciones arancelarias, cuenten con el registro en el esquema de certificación de empresas en cualquier modalidad.</w:t>
      </w:r>
    </w:p>
    <w:p w14:paraId="4D7409B6" w14:textId="77777777" w:rsidR="00606C6B" w:rsidRPr="00536BE6" w:rsidRDefault="00606C6B" w:rsidP="00606C6B">
      <w:pPr>
        <w:pStyle w:val="Texto"/>
        <w:spacing w:line="353" w:lineRule="exact"/>
        <w:rPr>
          <w:color w:val="000000"/>
          <w:lang w:val="es-MX"/>
        </w:rPr>
      </w:pPr>
      <w:r w:rsidRPr="00536BE6">
        <w:rPr>
          <w:color w:val="000000"/>
          <w:lang w:val="es-MX"/>
        </w:rPr>
        <w:t>Atentamente.</w:t>
      </w:r>
    </w:p>
    <w:p w14:paraId="77A5755D" w14:textId="77777777" w:rsidR="00606C6B" w:rsidRPr="00784A8A" w:rsidRDefault="00606C6B" w:rsidP="00606C6B">
      <w:pPr>
        <w:pStyle w:val="Texto"/>
        <w:spacing w:line="353" w:lineRule="exact"/>
        <w:rPr>
          <w:color w:val="000000"/>
          <w:lang w:val="es-MX"/>
        </w:rPr>
      </w:pPr>
      <w:r w:rsidRPr="00536BE6">
        <w:rPr>
          <w:color w:val="000000"/>
          <w:lang w:val="es-MX"/>
        </w:rPr>
        <w:lastRenderedPageBreak/>
        <w:t>Ciudad de México, a 20 de diciembre de 2024.</w:t>
      </w:r>
      <w:r>
        <w:rPr>
          <w:color w:val="000000"/>
          <w:lang w:val="es-MX"/>
        </w:rPr>
        <w:t xml:space="preserve">- </w:t>
      </w:r>
      <w:r w:rsidRPr="00536BE6">
        <w:rPr>
          <w:lang w:val="es-MX"/>
        </w:rPr>
        <w:t>En suplencia por ausencia del Jefe del Servicio de Administración Tributaria, con fundamento en el artículo 4, primer párrafo del Reglamento Interior del Servicio de Administración Tributaria, firma el</w:t>
      </w:r>
      <w:r>
        <w:rPr>
          <w:lang w:val="es-MX"/>
        </w:rPr>
        <w:t xml:space="preserve"> Administrador General Jurídico, </w:t>
      </w:r>
      <w:r w:rsidRPr="00536BE6">
        <w:rPr>
          <w:color w:val="000000"/>
          <w:lang w:val="es-MX"/>
        </w:rPr>
        <w:t xml:space="preserve">Lic. </w:t>
      </w:r>
      <w:r w:rsidRPr="00784A8A">
        <w:rPr>
          <w:b/>
          <w:color w:val="000000"/>
          <w:lang w:val="es-MX"/>
        </w:rPr>
        <w:t xml:space="preserve">Ricardo Carrasco </w:t>
      </w:r>
      <w:proofErr w:type="gramStart"/>
      <w:r w:rsidRPr="00784A8A">
        <w:rPr>
          <w:b/>
          <w:color w:val="000000"/>
          <w:lang w:val="es-MX"/>
        </w:rPr>
        <w:t>Varona</w:t>
      </w:r>
      <w:r>
        <w:rPr>
          <w:color w:val="000000"/>
          <w:lang w:val="es-MX"/>
        </w:rPr>
        <w:t>.-</w:t>
      </w:r>
      <w:proofErr w:type="gramEnd"/>
      <w:r>
        <w:rPr>
          <w:color w:val="000000"/>
          <w:lang w:val="es-MX"/>
        </w:rPr>
        <w:t xml:space="preserve"> Rúbrica.</w:t>
      </w:r>
    </w:p>
    <w:p w14:paraId="01D42033" w14:textId="77777777" w:rsidR="00301412" w:rsidRDefault="00301412"/>
    <w:sectPr w:rsidR="00301412" w:rsidSect="00606C6B">
      <w:headerReference w:type="even" r:id="rId4"/>
      <w:headerReference w:type="default" r:id="rId5"/>
      <w:pgSz w:w="12240" w:h="15840" w:code="1"/>
      <w:pgMar w:top="1152" w:right="1699" w:bottom="1296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4605B" w14:textId="77777777" w:rsidR="00606C6B" w:rsidRDefault="00606C6B" w:rsidP="00F97EC9">
    <w:pPr>
      <w:pStyle w:val="Fechas"/>
    </w:pPr>
    <w:r>
      <w:tab/>
      <w:t>DIARIO OFICIAL</w:t>
    </w:r>
    <w:r>
      <w:tab/>
    </w:r>
    <w:proofErr w:type="gramStart"/>
    <w:r>
      <w:t>Lunes</w:t>
    </w:r>
    <w:proofErr w:type="gramEnd"/>
    <w:r>
      <w:t xml:space="preserve"> 6 de enero de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218A9" w14:textId="77777777" w:rsidR="00606C6B" w:rsidRDefault="00606C6B" w:rsidP="00F97EC9">
    <w:pPr>
      <w:pStyle w:val="Fechas"/>
    </w:pPr>
    <w:r>
      <w:t>Lunes 6 de enero de 2025</w:t>
    </w:r>
    <w:r>
      <w:tab/>
      <w:t>DIARIO OFICIAL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6B"/>
    <w:rsid w:val="0000599D"/>
    <w:rsid w:val="002D1906"/>
    <w:rsid w:val="00301412"/>
    <w:rsid w:val="00606C6B"/>
    <w:rsid w:val="00DF171A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DF72"/>
  <w15:chartTrackingRefBased/>
  <w15:docId w15:val="{09CD3104-730C-433E-AB59-634AAD02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C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06C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C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C6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C6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C6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C6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C6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C6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C6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C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C6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C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C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C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C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6C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06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C6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06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6C6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06C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6C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06C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C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6C6B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606C6B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606C6B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character" w:customStyle="1" w:styleId="TextoCar">
    <w:name w:val="Texto Car"/>
    <w:link w:val="Texto"/>
    <w:locked/>
    <w:rsid w:val="00606C6B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texto0">
    <w:name w:val="texto"/>
    <w:basedOn w:val="Normal"/>
    <w:rsid w:val="00606C6B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customStyle="1" w:styleId="CABEZA">
    <w:name w:val="CABEZA"/>
    <w:basedOn w:val="Normal"/>
    <w:rsid w:val="00606C6B"/>
    <w:pPr>
      <w:jc w:val="center"/>
    </w:pPr>
    <w:rPr>
      <w:rFonts w:eastAsia="Calibri"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2025-01-06T14:13:00Z</dcterms:created>
  <dcterms:modified xsi:type="dcterms:W3CDTF">2025-01-06T14:13:00Z</dcterms:modified>
</cp:coreProperties>
</file>