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4722" w14:textId="77777777" w:rsidR="00F1150A" w:rsidRPr="00AF7E60" w:rsidRDefault="00F1150A" w:rsidP="00F1150A">
      <w:pPr>
        <w:pStyle w:val="CABEZA"/>
        <w:pBdr>
          <w:bottom w:val="single" w:sz="4" w:space="1" w:color="auto"/>
        </w:pBdr>
        <w:ind w:left="922" w:right="922"/>
        <w:rPr>
          <w:rFonts w:cs="Times New Roman"/>
        </w:rPr>
      </w:pPr>
      <w:bookmarkStart w:id="0" w:name="_Hlk187043187"/>
      <w:r w:rsidRPr="00AF7E60">
        <w:rPr>
          <w:rFonts w:cs="Times New Roman"/>
        </w:rPr>
        <w:t>PODER EJECUTIVO</w:t>
      </w:r>
    </w:p>
    <w:p w14:paraId="2044A896" w14:textId="77777777" w:rsidR="00F1150A" w:rsidRDefault="00F1150A" w:rsidP="00F1150A">
      <w:pPr>
        <w:pStyle w:val="CABEZA"/>
      </w:pPr>
      <w:r>
        <w:t>SECRETARIA DE HACIENDA Y CREDITO PUBLICO</w:t>
      </w:r>
    </w:p>
    <w:bookmarkEnd w:id="0"/>
    <w:p w14:paraId="45934BC0" w14:textId="6B66260A" w:rsidR="00F1150A" w:rsidRPr="00015FDF" w:rsidRDefault="00F1150A" w:rsidP="00F1150A">
      <w:pPr>
        <w:pStyle w:val="texto0"/>
        <w:snapToGrid/>
        <w:spacing w:after="90"/>
        <w:rPr>
          <w:sz w:val="16"/>
          <w:szCs w:val="16"/>
        </w:rPr>
      </w:pPr>
      <w:r w:rsidRPr="00015FDF">
        <w:rPr>
          <w:sz w:val="16"/>
          <w:szCs w:val="16"/>
        </w:rPr>
        <w:t>ANEXO 19 DE LAS REGLAS GENERALES DE COMERCIO EXTERIOR PARA 2025</w:t>
      </w:r>
    </w:p>
    <w:p w14:paraId="3ECDEB7A" w14:textId="77777777" w:rsidR="00F1150A" w:rsidRPr="00536BE6" w:rsidRDefault="00F1150A" w:rsidP="00F1150A">
      <w:pPr>
        <w:pStyle w:val="Texto"/>
        <w:spacing w:after="90"/>
        <w:ind w:firstLine="0"/>
        <w:jc w:val="center"/>
        <w:rPr>
          <w:b/>
        </w:rPr>
      </w:pPr>
      <w:r w:rsidRPr="00536BE6">
        <w:rPr>
          <w:b/>
        </w:rPr>
        <w:t xml:space="preserve">Datos inexactos, falsos u omitidos por los que se actualiza la infracción </w:t>
      </w:r>
      <w:proofErr w:type="gramStart"/>
      <w:r w:rsidRPr="00536BE6">
        <w:rPr>
          <w:b/>
        </w:rPr>
        <w:t xml:space="preserve">establecida </w:t>
      </w:r>
      <w:r>
        <w:rPr>
          <w:b/>
        </w:rPr>
        <w:t xml:space="preserve"> </w:t>
      </w:r>
      <w:r w:rsidRPr="00536BE6">
        <w:rPr>
          <w:b/>
        </w:rPr>
        <w:t>en</w:t>
      </w:r>
      <w:proofErr w:type="gramEnd"/>
      <w:r w:rsidRPr="00536BE6">
        <w:rPr>
          <w:b/>
        </w:rPr>
        <w:t xml:space="preserve"> el artículo 184, fracción III de la Ley</w:t>
      </w:r>
    </w:p>
    <w:p w14:paraId="7CCF8248" w14:textId="77777777" w:rsidR="00F1150A" w:rsidRPr="00536BE6" w:rsidRDefault="00F1150A" w:rsidP="00F1150A">
      <w:pPr>
        <w:pStyle w:val="Texto"/>
        <w:spacing w:after="90"/>
      </w:pPr>
      <w:r w:rsidRPr="00536BE6">
        <w:t>Para los efectos de los artículos 184, fracción III y 185, fracción II de la Ley, en relación con la regla 3.7.25., segundo párrafo, se dan a conocer los datos inexactos, falsos u omitidos por los que se actualiza la infracción establecida en el artículo 184, fracción III de la Ley, señalados a continuación:</w:t>
      </w:r>
    </w:p>
    <w:p w14:paraId="3FC5F1A0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I.</w:t>
      </w:r>
      <w:r w:rsidRPr="00536BE6">
        <w:rPr>
          <w:b/>
        </w:rPr>
        <w:tab/>
      </w:r>
      <w:r w:rsidRPr="00536BE6">
        <w:t>Fecha de entrada de la mercancía a territorio nacional (importación).</w:t>
      </w:r>
    </w:p>
    <w:p w14:paraId="27D36F80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II.</w:t>
      </w:r>
      <w:r w:rsidRPr="00536BE6">
        <w:rPr>
          <w:b/>
        </w:rPr>
        <w:tab/>
      </w:r>
      <w:r w:rsidRPr="00536BE6">
        <w:t>Clave del pedimento.</w:t>
      </w:r>
    </w:p>
    <w:p w14:paraId="75695C4F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III.</w:t>
      </w:r>
      <w:r w:rsidRPr="00536BE6">
        <w:rPr>
          <w:b/>
        </w:rPr>
        <w:tab/>
      </w:r>
      <w:r w:rsidRPr="00536BE6">
        <w:t>Tipo de operación.</w:t>
      </w:r>
    </w:p>
    <w:p w14:paraId="66074898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IV.</w:t>
      </w:r>
      <w:r w:rsidRPr="00536BE6">
        <w:rPr>
          <w:b/>
        </w:rPr>
        <w:tab/>
      </w:r>
      <w:r w:rsidRPr="00536BE6">
        <w:t>Número de pedimento.</w:t>
      </w:r>
    </w:p>
    <w:p w14:paraId="4078DFD6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V.</w:t>
      </w:r>
      <w:r w:rsidRPr="00536BE6">
        <w:rPr>
          <w:b/>
        </w:rPr>
        <w:tab/>
      </w:r>
      <w:r w:rsidRPr="00536BE6">
        <w:t>Clave en el RFC del importador/exportador.</w:t>
      </w:r>
    </w:p>
    <w:p w14:paraId="782FEECE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VI.</w:t>
      </w:r>
      <w:r w:rsidRPr="00536BE6">
        <w:rPr>
          <w:b/>
        </w:rPr>
        <w:tab/>
      </w:r>
      <w:r w:rsidRPr="00536BE6">
        <w:t>Clave del país vendedor o comprador.</w:t>
      </w:r>
    </w:p>
    <w:p w14:paraId="61E93B69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VII.</w:t>
      </w:r>
      <w:r w:rsidRPr="00536BE6">
        <w:rPr>
          <w:b/>
        </w:rPr>
        <w:tab/>
      </w:r>
      <w:r w:rsidRPr="00536BE6">
        <w:t>Clave del país de origen o del último destino.</w:t>
      </w:r>
    </w:p>
    <w:p w14:paraId="4B991E9C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VIII.</w:t>
      </w:r>
      <w:r w:rsidRPr="00536BE6">
        <w:rPr>
          <w:b/>
        </w:rPr>
        <w:tab/>
      </w:r>
      <w:r w:rsidRPr="00536BE6">
        <w:t>Clave del medio de transporte de entrada a territorio nacional.</w:t>
      </w:r>
    </w:p>
    <w:p w14:paraId="4C381CFD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IX.</w:t>
      </w:r>
      <w:r w:rsidRPr="00536BE6">
        <w:rPr>
          <w:b/>
        </w:rPr>
        <w:tab/>
      </w:r>
      <w:r w:rsidRPr="00536BE6">
        <w:t>Fracción arancelaria.</w:t>
      </w:r>
    </w:p>
    <w:p w14:paraId="1FBCF958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X.</w:t>
      </w:r>
      <w:r w:rsidRPr="00536BE6">
        <w:rPr>
          <w:b/>
        </w:rPr>
        <w:tab/>
      </w:r>
      <w:r w:rsidRPr="00536BE6">
        <w:t>Clave de la unidad de medida conforme a la TIGIE.</w:t>
      </w:r>
    </w:p>
    <w:p w14:paraId="2FB659DF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XI.</w:t>
      </w:r>
      <w:r w:rsidRPr="00536BE6">
        <w:rPr>
          <w:b/>
        </w:rPr>
        <w:tab/>
      </w:r>
      <w:r w:rsidRPr="00536BE6">
        <w:t>Cantidad de la mercancía en unidad de la TIGIE.</w:t>
      </w:r>
    </w:p>
    <w:p w14:paraId="01A27CA2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XII.</w:t>
      </w:r>
      <w:r w:rsidRPr="00536BE6">
        <w:rPr>
          <w:b/>
        </w:rPr>
        <w:tab/>
      </w:r>
      <w:r w:rsidRPr="00536BE6">
        <w:t>Valor en aduana de la mercancía.</w:t>
      </w:r>
    </w:p>
    <w:p w14:paraId="5194044E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XIII.</w:t>
      </w:r>
      <w:r w:rsidRPr="00536BE6">
        <w:rPr>
          <w:b/>
        </w:rPr>
        <w:tab/>
      </w:r>
      <w:r w:rsidRPr="00536BE6">
        <w:t>Importe de fletes.</w:t>
      </w:r>
    </w:p>
    <w:p w14:paraId="3675F9AE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XIV.</w:t>
      </w:r>
      <w:r w:rsidRPr="00536BE6">
        <w:rPr>
          <w:b/>
        </w:rPr>
        <w:tab/>
      </w:r>
      <w:r w:rsidRPr="00536BE6">
        <w:t>Importe de seguros.</w:t>
      </w:r>
    </w:p>
    <w:p w14:paraId="66F8693E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XV.</w:t>
      </w:r>
      <w:r w:rsidRPr="00536BE6">
        <w:tab/>
        <w:t>Importe de embalajes.</w:t>
      </w:r>
    </w:p>
    <w:p w14:paraId="62EA51FA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XVI.</w:t>
      </w:r>
      <w:r w:rsidRPr="00536BE6">
        <w:rPr>
          <w:b/>
        </w:rPr>
        <w:tab/>
      </w:r>
      <w:r w:rsidRPr="00536BE6">
        <w:t>Importe de otros incrementables.</w:t>
      </w:r>
    </w:p>
    <w:p w14:paraId="5257D795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XVII.</w:t>
      </w:r>
      <w:r w:rsidRPr="00536BE6">
        <w:rPr>
          <w:b/>
        </w:rPr>
        <w:tab/>
      </w:r>
      <w:r w:rsidRPr="00536BE6">
        <w:t>Fecha de pago de los impuestos.</w:t>
      </w:r>
    </w:p>
    <w:p w14:paraId="0EF66153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XVIII.</w:t>
      </w:r>
      <w:r w:rsidRPr="00536BE6">
        <w:rPr>
          <w:b/>
        </w:rPr>
        <w:tab/>
      </w:r>
      <w:r w:rsidRPr="00536BE6">
        <w:t>Valor comercial de la mercancía.</w:t>
      </w:r>
    </w:p>
    <w:p w14:paraId="1D0059BD" w14:textId="77777777" w:rsidR="00F1150A" w:rsidRPr="00536BE6" w:rsidRDefault="00F1150A" w:rsidP="00F1150A">
      <w:pPr>
        <w:pStyle w:val="Texto"/>
        <w:spacing w:after="90"/>
        <w:ind w:left="1008" w:hanging="720"/>
        <w:rPr>
          <w:b/>
        </w:rPr>
      </w:pPr>
      <w:r w:rsidRPr="00536BE6">
        <w:rPr>
          <w:b/>
        </w:rPr>
        <w:t>XIX.</w:t>
      </w:r>
      <w:r w:rsidRPr="00536BE6">
        <w:rPr>
          <w:b/>
        </w:rPr>
        <w:tab/>
      </w:r>
      <w:r w:rsidRPr="00536BE6">
        <w:t>Valor agregado en productos elaborados por empresas con Programa IMMEX.</w:t>
      </w:r>
    </w:p>
    <w:p w14:paraId="317F5E0F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XX.</w:t>
      </w:r>
      <w:r w:rsidRPr="00536BE6">
        <w:rPr>
          <w:b/>
        </w:rPr>
        <w:tab/>
      </w:r>
      <w:r w:rsidRPr="00536BE6">
        <w:t>Número de patente o de autorización de agente aduanal, agencia aduanal o de almacenadora.</w:t>
      </w:r>
    </w:p>
    <w:p w14:paraId="7E483A57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XXI.</w:t>
      </w:r>
      <w:r w:rsidRPr="00536BE6">
        <w:rPr>
          <w:b/>
        </w:rPr>
        <w:tab/>
      </w:r>
      <w:r w:rsidRPr="00536BE6">
        <w:t>Permisos, autorización(es) e identificadores/claves.</w:t>
      </w:r>
    </w:p>
    <w:p w14:paraId="33F31417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XXII.</w:t>
      </w:r>
      <w:r w:rsidRPr="00536BE6">
        <w:rPr>
          <w:b/>
        </w:rPr>
        <w:tab/>
      </w:r>
      <w:r w:rsidRPr="00536BE6">
        <w:t>Número o números de permisos, autorización(es) e identificadores/claves.</w:t>
      </w:r>
    </w:p>
    <w:p w14:paraId="0F569332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XXIII.</w:t>
      </w:r>
      <w:r w:rsidRPr="00536BE6">
        <w:rPr>
          <w:b/>
        </w:rPr>
        <w:tab/>
      </w:r>
      <w:r w:rsidRPr="00536BE6">
        <w:t>Los números de serie, parte, marca o modelo siempre que los declarados sean distintos de los que ostenten las mercancías en uno, dos o tres de sus caracteres alfanuméricos, o en su defecto las especificaciones técnicas o comerciales necesarias para identificar las mercancías individualmente y distinguirlas de otras similares, cuando dichos datos existan y no se consignen en el pedimento, en el CFDI o documento equivalente, en el documento de embarque o en relación que, en su caso, se haya anexado al pedimento.</w:t>
      </w:r>
    </w:p>
    <w:p w14:paraId="07599AAB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XXIV.</w:t>
      </w:r>
      <w:r w:rsidRPr="00536BE6">
        <w:rPr>
          <w:b/>
        </w:rPr>
        <w:tab/>
      </w:r>
      <w:r w:rsidRPr="00536BE6">
        <w:t>Número de contenedor.</w:t>
      </w:r>
    </w:p>
    <w:p w14:paraId="138F39C3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XXV.</w:t>
      </w:r>
      <w:r w:rsidRPr="00536BE6">
        <w:rPr>
          <w:b/>
        </w:rPr>
        <w:tab/>
      </w:r>
      <w:r w:rsidRPr="00536BE6">
        <w:t>Clave del tipo de contenedor y tipo de vehículo de autotransporte.</w:t>
      </w:r>
    </w:p>
    <w:p w14:paraId="78A7A4AF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XXVI.</w:t>
      </w:r>
      <w:r w:rsidRPr="00536BE6">
        <w:rPr>
          <w:b/>
        </w:rPr>
        <w:tab/>
      </w:r>
      <w:r w:rsidRPr="00536BE6">
        <w:t>Depósito referenciado (línea de captura) y, en su caso, la impresión del pago electrónico conforme al Anexo 22, apéndice 23.</w:t>
      </w:r>
    </w:p>
    <w:p w14:paraId="5265CC47" w14:textId="77777777" w:rsidR="00F1150A" w:rsidRPr="00F1150A" w:rsidRDefault="00F1150A" w:rsidP="00F1150A">
      <w:pPr>
        <w:pStyle w:val="Texto"/>
        <w:spacing w:after="90"/>
        <w:ind w:left="1008" w:hanging="720"/>
        <w:rPr>
          <w:lang w:val="pt-BR"/>
        </w:rPr>
      </w:pPr>
      <w:r w:rsidRPr="00F1150A">
        <w:rPr>
          <w:b/>
          <w:lang w:val="pt-BR"/>
        </w:rPr>
        <w:t>XXVII.</w:t>
      </w:r>
      <w:r w:rsidRPr="00F1150A">
        <w:rPr>
          <w:lang w:val="pt-BR"/>
        </w:rPr>
        <w:tab/>
        <w:t>Código QR, verificador de pago o cumplimiento.</w:t>
      </w:r>
    </w:p>
    <w:p w14:paraId="265A9FA1" w14:textId="77777777" w:rsidR="00F1150A" w:rsidRPr="00536BE6" w:rsidRDefault="00F1150A" w:rsidP="00F1150A">
      <w:pPr>
        <w:pStyle w:val="Texto"/>
        <w:spacing w:after="90"/>
        <w:ind w:left="1008" w:hanging="720"/>
      </w:pPr>
      <w:r w:rsidRPr="00536BE6">
        <w:rPr>
          <w:b/>
        </w:rPr>
        <w:t>XXVIII.</w:t>
      </w:r>
      <w:r w:rsidRPr="00536BE6">
        <w:tab/>
        <w:t>INCOTERM.</w:t>
      </w:r>
    </w:p>
    <w:p w14:paraId="7DAAA32D" w14:textId="77777777" w:rsidR="00F1150A" w:rsidRPr="00536BE6" w:rsidRDefault="00F1150A" w:rsidP="00F1150A">
      <w:pPr>
        <w:pStyle w:val="Texto"/>
        <w:spacing w:after="90"/>
        <w:ind w:left="1008" w:hanging="720"/>
        <w:rPr>
          <w:b/>
        </w:rPr>
      </w:pPr>
      <w:r w:rsidRPr="00536BE6">
        <w:rPr>
          <w:b/>
        </w:rPr>
        <w:t>XXIX.</w:t>
      </w:r>
      <w:r w:rsidRPr="00536BE6">
        <w:tab/>
      </w:r>
      <w:proofErr w:type="spellStart"/>
      <w:r w:rsidRPr="00536BE6">
        <w:t>Decrementables</w:t>
      </w:r>
      <w:proofErr w:type="spellEnd"/>
      <w:r w:rsidRPr="00536BE6">
        <w:t xml:space="preserve">, de conformidad con el artículo 66 de la Ley (transporte </w:t>
      </w:r>
      <w:proofErr w:type="spellStart"/>
      <w:r w:rsidRPr="00536BE6">
        <w:t>decrementables</w:t>
      </w:r>
      <w:proofErr w:type="spellEnd"/>
      <w:r w:rsidRPr="00536BE6">
        <w:t xml:space="preserve">, seguros </w:t>
      </w:r>
      <w:proofErr w:type="spellStart"/>
      <w:r w:rsidRPr="00536BE6">
        <w:t>decrementables</w:t>
      </w:r>
      <w:proofErr w:type="spellEnd"/>
      <w:r w:rsidRPr="00536BE6">
        <w:t xml:space="preserve">, carga </w:t>
      </w:r>
      <w:proofErr w:type="spellStart"/>
      <w:r w:rsidRPr="00536BE6">
        <w:t>decrementables</w:t>
      </w:r>
      <w:proofErr w:type="spellEnd"/>
      <w:r w:rsidRPr="00536BE6">
        <w:t xml:space="preserve">, descarga </w:t>
      </w:r>
      <w:proofErr w:type="spellStart"/>
      <w:r w:rsidRPr="00536BE6">
        <w:t>decrementables</w:t>
      </w:r>
      <w:proofErr w:type="spellEnd"/>
      <w:r w:rsidRPr="00536BE6">
        <w:t xml:space="preserve"> y otros </w:t>
      </w:r>
      <w:proofErr w:type="spellStart"/>
      <w:r w:rsidRPr="00536BE6">
        <w:t>decrementables</w:t>
      </w:r>
      <w:proofErr w:type="spellEnd"/>
      <w:r w:rsidRPr="00536BE6">
        <w:t>).</w:t>
      </w:r>
    </w:p>
    <w:p w14:paraId="1642DE53" w14:textId="77777777" w:rsidR="00F1150A" w:rsidRPr="00536BE6" w:rsidRDefault="00F1150A" w:rsidP="00F1150A">
      <w:pPr>
        <w:pStyle w:val="Texto"/>
        <w:spacing w:after="90"/>
        <w:rPr>
          <w:color w:val="000000"/>
          <w:lang w:val="es-MX"/>
        </w:rPr>
      </w:pPr>
      <w:r w:rsidRPr="00536BE6">
        <w:rPr>
          <w:color w:val="000000"/>
          <w:lang w:val="es-MX"/>
        </w:rPr>
        <w:t>Atentamente.</w:t>
      </w:r>
    </w:p>
    <w:p w14:paraId="1E57DC10" w14:textId="77777777" w:rsidR="00F1150A" w:rsidRPr="00784A8A" w:rsidRDefault="00F1150A" w:rsidP="00F1150A">
      <w:pPr>
        <w:pStyle w:val="Texto"/>
        <w:spacing w:after="90"/>
        <w:rPr>
          <w:color w:val="000000"/>
          <w:lang w:val="es-MX"/>
        </w:rPr>
      </w:pPr>
      <w:r w:rsidRPr="00536BE6">
        <w:rPr>
          <w:color w:val="000000"/>
          <w:lang w:val="es-MX"/>
        </w:rPr>
        <w:lastRenderedPageBreak/>
        <w:t>Ciudad de México, a 20 de diciembre de 2024.</w:t>
      </w:r>
      <w:r>
        <w:rPr>
          <w:color w:val="000000"/>
          <w:lang w:val="es-MX"/>
        </w:rPr>
        <w:t xml:space="preserve">- </w:t>
      </w:r>
      <w:r w:rsidRPr="00536BE6">
        <w:rPr>
          <w:lang w:val="es-MX"/>
        </w:rPr>
        <w:t>En suplencia por ausencia del Jefe del Servicio de Administración Tributaria, con fundamento en el artículo 4, primer párrafo del Reglamento Interior del Servicio de Administración Tributaria, firma el</w:t>
      </w:r>
      <w:r>
        <w:rPr>
          <w:lang w:val="es-MX"/>
        </w:rPr>
        <w:t xml:space="preserve"> Administrador General Jurídico, </w:t>
      </w:r>
      <w:r w:rsidRPr="00536BE6">
        <w:rPr>
          <w:color w:val="000000"/>
          <w:lang w:val="es-MX"/>
        </w:rPr>
        <w:t xml:space="preserve">Lic. </w:t>
      </w:r>
      <w:r w:rsidRPr="00784A8A">
        <w:rPr>
          <w:b/>
          <w:color w:val="000000"/>
          <w:lang w:val="es-MX"/>
        </w:rPr>
        <w:t xml:space="preserve">Ricardo Carrasco </w:t>
      </w:r>
      <w:proofErr w:type="gramStart"/>
      <w:r w:rsidRPr="00784A8A">
        <w:rPr>
          <w:b/>
          <w:color w:val="000000"/>
          <w:lang w:val="es-MX"/>
        </w:rPr>
        <w:t>Varona</w:t>
      </w:r>
      <w:r>
        <w:rPr>
          <w:color w:val="000000"/>
          <w:lang w:val="es-MX"/>
        </w:rPr>
        <w:t>.-</w:t>
      </w:r>
      <w:proofErr w:type="gramEnd"/>
      <w:r>
        <w:rPr>
          <w:color w:val="000000"/>
          <w:lang w:val="es-MX"/>
        </w:rPr>
        <w:t xml:space="preserve"> Rúbrica.</w:t>
      </w:r>
    </w:p>
    <w:p w14:paraId="51E4A2A6" w14:textId="77777777" w:rsidR="00301412" w:rsidRDefault="00301412"/>
    <w:sectPr w:rsidR="00301412" w:rsidSect="00F1150A">
      <w:headerReference w:type="even" r:id="rId4"/>
      <w:headerReference w:type="default" r:id="rId5"/>
      <w:pgSz w:w="12240" w:h="15840" w:code="1"/>
      <w:pgMar w:top="1152" w:right="1699" w:bottom="129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21759" w14:textId="77777777" w:rsidR="00F1150A" w:rsidRDefault="00F1150A" w:rsidP="00F97EC9">
    <w:pPr>
      <w:pStyle w:val="Fechas"/>
    </w:pPr>
    <w:r>
      <w:tab/>
      <w:t>DIARIO OFICIAL</w:t>
    </w:r>
    <w:r>
      <w:tab/>
    </w:r>
    <w:proofErr w:type="gramStart"/>
    <w:r>
      <w:t>Lunes</w:t>
    </w:r>
    <w:proofErr w:type="gramEnd"/>
    <w:r>
      <w:t xml:space="preserve"> 6 de enero de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2059F" w14:textId="77777777" w:rsidR="00F1150A" w:rsidRDefault="00F1150A" w:rsidP="00F97EC9">
    <w:pPr>
      <w:pStyle w:val="Fechas"/>
    </w:pPr>
    <w:r>
      <w:t>Lunes 6 de enero de 2025</w:t>
    </w:r>
    <w:r>
      <w:tab/>
      <w:t>DIARIO OFICIAL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0A"/>
    <w:rsid w:val="0000599D"/>
    <w:rsid w:val="002D1906"/>
    <w:rsid w:val="00301412"/>
    <w:rsid w:val="00DF171A"/>
    <w:rsid w:val="00F1150A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48BFD"/>
  <w15:chartTrackingRefBased/>
  <w15:docId w15:val="{3752E3C5-2C8C-4333-8660-1B96C1E2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15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15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15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15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15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150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150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150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150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1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1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1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15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15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15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15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15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15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15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11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15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11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150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115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15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115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1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15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150A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F1150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Fechas">
    <w:name w:val="Fechas"/>
    <w:basedOn w:val="Texto"/>
    <w:autoRedefine/>
    <w:rsid w:val="00F1150A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character" w:customStyle="1" w:styleId="TextoCar">
    <w:name w:val="Texto Car"/>
    <w:link w:val="Texto"/>
    <w:locked/>
    <w:rsid w:val="00F1150A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texto0">
    <w:name w:val="texto"/>
    <w:basedOn w:val="Normal"/>
    <w:rsid w:val="00F1150A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customStyle="1" w:styleId="CABEZA">
    <w:name w:val="CABEZA"/>
    <w:basedOn w:val="Normal"/>
    <w:rsid w:val="00F1150A"/>
    <w:pPr>
      <w:jc w:val="center"/>
    </w:pPr>
    <w:rPr>
      <w:rFonts w:eastAsia="Calibri" w:cs="Arial"/>
      <w:b/>
      <w:sz w:val="28"/>
      <w:szCs w:val="28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2025-01-06T14:12:00Z</dcterms:created>
  <dcterms:modified xsi:type="dcterms:W3CDTF">2025-01-06T14:13:00Z</dcterms:modified>
</cp:coreProperties>
</file>