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B9BD0" w14:textId="77777777" w:rsidR="0064273E" w:rsidRPr="00AF7E60" w:rsidRDefault="0064273E" w:rsidP="0064273E">
      <w:pPr>
        <w:pStyle w:val="CABEZA"/>
        <w:pBdr>
          <w:bottom w:val="single" w:sz="4" w:space="1" w:color="auto"/>
        </w:pBdr>
        <w:ind w:left="922" w:right="922"/>
        <w:rPr>
          <w:rFonts w:cs="Times New Roman"/>
        </w:rPr>
      </w:pPr>
      <w:r w:rsidRPr="00AF7E60">
        <w:rPr>
          <w:rFonts w:cs="Times New Roman"/>
        </w:rPr>
        <w:t>PODER EJECUTIVO</w:t>
      </w:r>
    </w:p>
    <w:p w14:paraId="5DD5608A" w14:textId="77777777" w:rsidR="0064273E" w:rsidRDefault="0064273E" w:rsidP="0064273E">
      <w:pPr>
        <w:pStyle w:val="CABEZA"/>
      </w:pPr>
      <w:r>
        <w:t>SECRETARIA DE HACIENDA Y CREDITO PUBLICO</w:t>
      </w:r>
    </w:p>
    <w:p w14:paraId="5DE57023" w14:textId="77777777" w:rsidR="0064273E" w:rsidRPr="003837EC" w:rsidRDefault="0064273E" w:rsidP="0064273E">
      <w:pPr>
        <w:pStyle w:val="Texto"/>
        <w:spacing w:before="20" w:after="20"/>
        <w:rPr>
          <w:sz w:val="16"/>
          <w:szCs w:val="16"/>
          <w:lang w:val="es-ES_tradnl"/>
        </w:rPr>
      </w:pPr>
      <w:r w:rsidRPr="003837EC">
        <w:rPr>
          <w:sz w:val="16"/>
          <w:szCs w:val="16"/>
          <w:lang w:val="es-ES_tradnl"/>
        </w:rPr>
        <w:t>ANEXO 26 DE LAS REGLAS GENERALES DE COMERCIO EXTERIOR PARA 2025</w:t>
      </w:r>
    </w:p>
    <w:p w14:paraId="460BDF08" w14:textId="77777777" w:rsidR="0064273E" w:rsidRPr="00536BE6" w:rsidRDefault="0064273E" w:rsidP="0064273E">
      <w:pPr>
        <w:pStyle w:val="Texto"/>
        <w:spacing w:before="20" w:after="20"/>
        <w:ind w:firstLine="0"/>
        <w:jc w:val="center"/>
        <w:rPr>
          <w:b/>
          <w:lang w:val="es-MX"/>
        </w:rPr>
      </w:pPr>
      <w:r w:rsidRPr="00536BE6">
        <w:rPr>
          <w:b/>
          <w:lang w:val="es-MX"/>
        </w:rPr>
        <w:t xml:space="preserve">Datos omitidos </w:t>
      </w:r>
      <w:bookmarkStart w:id="0" w:name="N_Hlk151717218"/>
      <w:r w:rsidRPr="00536BE6">
        <w:rPr>
          <w:b/>
          <w:lang w:val="es-MX"/>
        </w:rPr>
        <w:t xml:space="preserve">o inexactos relativos al cumplimiento de las NOM de información </w:t>
      </w:r>
      <w:r>
        <w:rPr>
          <w:b/>
          <w:lang w:val="es-MX"/>
        </w:rPr>
        <w:t xml:space="preserve"> </w:t>
      </w:r>
      <w:r w:rsidRPr="00536BE6">
        <w:rPr>
          <w:b/>
          <w:lang w:val="es-MX"/>
        </w:rPr>
        <w:t>comercial</w:t>
      </w:r>
      <w:bookmarkEnd w:id="0"/>
      <w:r w:rsidRPr="00536BE6">
        <w:rPr>
          <w:b/>
          <w:lang w:val="es-MX"/>
        </w:rPr>
        <w:t xml:space="preserve"> por los que procede la retención de mercancías</w:t>
      </w:r>
    </w:p>
    <w:p w14:paraId="50781A76" w14:textId="77777777" w:rsidR="0064273E" w:rsidRPr="00536BE6" w:rsidRDefault="0064273E" w:rsidP="0064273E">
      <w:pPr>
        <w:pStyle w:val="Texto"/>
        <w:spacing w:before="20" w:after="20"/>
      </w:pPr>
      <w:r w:rsidRPr="00536BE6">
        <w:t>Para los efectos del artículo 158, primer párrafo, fracción II de la Ley, en relación con la regla 3.7.20., se dan a conocer los datos omitidos o inexactos relativos al cumplimiento de las NOM de información comercial por los que procede la retención de mercancías, señalados a continuación: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91"/>
        <w:gridCol w:w="4228"/>
        <w:gridCol w:w="4007"/>
      </w:tblGrid>
      <w:tr w:rsidR="0064273E" w:rsidRPr="003D3D97" w14:paraId="7AE08F5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A9BF191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  <w:r w:rsidRPr="003D3D97">
              <w:rPr>
                <w:b/>
                <w:sz w:val="16"/>
                <w:szCs w:val="16"/>
                <w:lang w:val="es-MX"/>
              </w:rPr>
              <w:t>Norma Oficial Mexicana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B8F1334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b/>
                <w:sz w:val="16"/>
                <w:szCs w:val="16"/>
                <w:lang w:val="es-MX"/>
              </w:rPr>
            </w:pPr>
            <w:r w:rsidRPr="003D3D97">
              <w:rPr>
                <w:b/>
                <w:sz w:val="16"/>
                <w:szCs w:val="16"/>
                <w:lang w:val="es-MX"/>
              </w:rPr>
              <w:t>Datos omitidos o inexactos en la etiqueta comercial de las mercancías</w:t>
            </w:r>
          </w:p>
        </w:tc>
      </w:tr>
      <w:tr w:rsidR="0064273E" w:rsidRPr="003D3D97" w14:paraId="13B9D10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5067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b/>
                <w:sz w:val="16"/>
                <w:szCs w:val="16"/>
                <w:lang w:val="es-MX"/>
              </w:rPr>
            </w:pPr>
            <w:r w:rsidRPr="003D3D97">
              <w:rPr>
                <w:b/>
                <w:sz w:val="16"/>
                <w:szCs w:val="16"/>
                <w:lang w:val="es-MX"/>
              </w:rPr>
              <w:t>I.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2C9A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sz w:val="16"/>
                <w:szCs w:val="16"/>
                <w:lang w:val="es-MX"/>
              </w:rPr>
            </w:pPr>
            <w:r w:rsidRPr="003D3D97">
              <w:rPr>
                <w:sz w:val="16"/>
                <w:szCs w:val="16"/>
                <w:lang w:val="es-MX"/>
              </w:rPr>
              <w:t>NOM-004-SE-2021.</w:t>
            </w:r>
          </w:p>
          <w:p w14:paraId="372FD7BA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sz w:val="16"/>
                <w:szCs w:val="16"/>
                <w:lang w:val="es-MX"/>
              </w:rPr>
            </w:pPr>
            <w:r w:rsidRPr="003D3D97">
              <w:rPr>
                <w:sz w:val="16"/>
                <w:szCs w:val="16"/>
                <w:lang w:val="es-MX"/>
              </w:rPr>
              <w:t xml:space="preserve">Información comercial-Etiquetado de productos textiles, prendas de vestir, sus accesorios y ropa de casa, publicada en el DOF el 14 de enero de 2022. 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3D4DC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sz w:val="16"/>
                <w:szCs w:val="16"/>
                <w:lang w:val="fr-FR"/>
              </w:rPr>
            </w:pPr>
            <w:r w:rsidRPr="003D3D97">
              <w:rPr>
                <w:sz w:val="16"/>
                <w:szCs w:val="16"/>
                <w:lang w:val="es-MX"/>
              </w:rPr>
              <w:t>Inciso 4.1 (Información comercial), excepto lo establecido en los incisos 4.1.1, literal (f) y 4.1.2, literal (c), relativos al responsable del producto.</w:t>
            </w:r>
          </w:p>
        </w:tc>
      </w:tr>
      <w:tr w:rsidR="0064273E" w:rsidRPr="003D3D97" w14:paraId="15C1976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553A8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b/>
                <w:sz w:val="16"/>
                <w:szCs w:val="16"/>
                <w:lang w:val="es-MX"/>
              </w:rPr>
            </w:pPr>
            <w:r w:rsidRPr="003D3D97">
              <w:rPr>
                <w:b/>
                <w:sz w:val="16"/>
                <w:szCs w:val="16"/>
                <w:lang w:val="es-MX"/>
              </w:rPr>
              <w:t>II.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74ADE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sz w:val="16"/>
                <w:szCs w:val="16"/>
                <w:lang w:val="es-MX"/>
              </w:rPr>
            </w:pPr>
            <w:r w:rsidRPr="003D3D97">
              <w:rPr>
                <w:sz w:val="16"/>
                <w:szCs w:val="16"/>
                <w:lang w:val="es-MX"/>
              </w:rPr>
              <w:t>NOM-020-SCFI-1997.</w:t>
            </w:r>
          </w:p>
          <w:p w14:paraId="6BC003A2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sz w:val="16"/>
                <w:szCs w:val="16"/>
                <w:lang w:val="es-MX"/>
              </w:rPr>
            </w:pPr>
            <w:r w:rsidRPr="003D3D97">
              <w:rPr>
                <w:sz w:val="16"/>
                <w:szCs w:val="16"/>
                <w:lang w:val="es-MX"/>
              </w:rPr>
              <w:t>Información comercial-Etiquetado de cueros y pieles curtidas naturales y materiales sintéticos o artificiales con esa apariencia, calzado, marroquinería, así como los productos elaborados con dichos materiales, publicada en el DOF el 27 de abril de 1998.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847A7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sz w:val="16"/>
                <w:szCs w:val="16"/>
                <w:lang w:val="es-MX"/>
              </w:rPr>
            </w:pPr>
            <w:r w:rsidRPr="003D3D97">
              <w:rPr>
                <w:sz w:val="16"/>
                <w:szCs w:val="16"/>
                <w:lang w:val="es-MX"/>
              </w:rPr>
              <w:t>Capítulo 4 (Información comercial).</w:t>
            </w:r>
          </w:p>
        </w:tc>
      </w:tr>
      <w:tr w:rsidR="0064273E" w:rsidRPr="003D3D97" w14:paraId="04E9296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B0E8F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b/>
                <w:sz w:val="16"/>
                <w:szCs w:val="16"/>
                <w:lang w:val="es-MX"/>
              </w:rPr>
            </w:pPr>
            <w:r w:rsidRPr="003D3D97">
              <w:rPr>
                <w:b/>
                <w:sz w:val="16"/>
                <w:szCs w:val="16"/>
                <w:lang w:val="es-MX"/>
              </w:rPr>
              <w:t>III.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A553E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sz w:val="16"/>
                <w:szCs w:val="16"/>
                <w:lang w:val="es-MX"/>
              </w:rPr>
            </w:pPr>
            <w:r w:rsidRPr="003D3D97">
              <w:rPr>
                <w:sz w:val="16"/>
                <w:szCs w:val="16"/>
                <w:lang w:val="es-MX"/>
              </w:rPr>
              <w:t>NOM-024-SCFI-2013.</w:t>
            </w:r>
          </w:p>
          <w:p w14:paraId="11352ECD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sz w:val="16"/>
                <w:szCs w:val="16"/>
                <w:lang w:val="es-MX"/>
              </w:rPr>
            </w:pPr>
            <w:r w:rsidRPr="003D3D97">
              <w:rPr>
                <w:sz w:val="16"/>
                <w:szCs w:val="16"/>
                <w:lang w:val="es-MX"/>
              </w:rPr>
              <w:t>Información comercial para empaques, instructivos y garantías de los productos electrónicos, eléctricos y electrodomésticos, publicada en el DOF el 12 de agosto de 2013.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12AF1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sz w:val="16"/>
                <w:szCs w:val="16"/>
                <w:lang w:val="es-MX"/>
              </w:rPr>
            </w:pPr>
            <w:r w:rsidRPr="003D3D97">
              <w:rPr>
                <w:sz w:val="16"/>
                <w:szCs w:val="16"/>
                <w:lang w:val="es-MX"/>
              </w:rPr>
              <w:t>Capítulo 5 (Información comercial).</w:t>
            </w:r>
          </w:p>
        </w:tc>
      </w:tr>
      <w:tr w:rsidR="0064273E" w:rsidRPr="003D3D97" w14:paraId="584DDB8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3E8B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b/>
                <w:sz w:val="16"/>
                <w:szCs w:val="16"/>
                <w:lang w:val="es-MX"/>
              </w:rPr>
            </w:pPr>
            <w:r w:rsidRPr="003D3D97">
              <w:rPr>
                <w:b/>
                <w:sz w:val="16"/>
                <w:szCs w:val="16"/>
                <w:lang w:val="es-MX"/>
              </w:rPr>
              <w:t>IV.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755AD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sz w:val="16"/>
                <w:szCs w:val="16"/>
                <w:lang w:val="es-MX"/>
              </w:rPr>
            </w:pPr>
            <w:r w:rsidRPr="003D3D97">
              <w:rPr>
                <w:sz w:val="16"/>
                <w:szCs w:val="16"/>
                <w:lang w:val="es-MX"/>
              </w:rPr>
              <w:t>NOM-139-SCFI-2012.</w:t>
            </w:r>
          </w:p>
          <w:p w14:paraId="627EBF5D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sz w:val="16"/>
                <w:szCs w:val="16"/>
                <w:lang w:val="es-MX"/>
              </w:rPr>
            </w:pPr>
            <w:r w:rsidRPr="003D3D97">
              <w:rPr>
                <w:sz w:val="16"/>
                <w:szCs w:val="16"/>
                <w:lang w:val="es-MX"/>
              </w:rPr>
              <w:t>Información comercial-Etiquetado de extracto natural de vainilla (</w:t>
            </w:r>
            <w:r w:rsidRPr="003D3D97">
              <w:rPr>
                <w:i/>
                <w:sz w:val="16"/>
                <w:szCs w:val="16"/>
                <w:lang w:val="es-MX"/>
              </w:rPr>
              <w:t>Vanilla spp</w:t>
            </w:r>
            <w:r w:rsidRPr="003D3D97">
              <w:rPr>
                <w:sz w:val="16"/>
                <w:szCs w:val="16"/>
                <w:lang w:val="es-MX"/>
              </w:rPr>
              <w:t>), derivados y sustitutos, publicada en el DOF el 10 de julio de 2012 y sus posteriores modificaciones.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033BE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sz w:val="16"/>
                <w:szCs w:val="16"/>
                <w:lang w:val="es-MX"/>
              </w:rPr>
            </w:pPr>
            <w:r w:rsidRPr="003D3D97">
              <w:rPr>
                <w:sz w:val="16"/>
                <w:szCs w:val="16"/>
                <w:lang w:val="es-MX"/>
              </w:rPr>
              <w:t>Capítulo 6 (Información comercial).</w:t>
            </w:r>
          </w:p>
        </w:tc>
      </w:tr>
      <w:tr w:rsidR="0064273E" w:rsidRPr="003D3D97" w14:paraId="3372724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B021D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b/>
                <w:sz w:val="16"/>
                <w:szCs w:val="16"/>
                <w:lang w:val="es-MX"/>
              </w:rPr>
            </w:pPr>
            <w:r w:rsidRPr="003D3D97">
              <w:rPr>
                <w:b/>
                <w:sz w:val="16"/>
                <w:szCs w:val="16"/>
                <w:lang w:val="es-MX"/>
              </w:rPr>
              <w:t>V.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CDDFC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sz w:val="16"/>
                <w:szCs w:val="16"/>
                <w:lang w:val="es-MX"/>
              </w:rPr>
            </w:pPr>
            <w:r w:rsidRPr="003D3D97">
              <w:rPr>
                <w:sz w:val="16"/>
                <w:szCs w:val="16"/>
                <w:lang w:val="es-MX"/>
              </w:rPr>
              <w:t>NOM-055-SCFI-1994.</w:t>
            </w:r>
          </w:p>
          <w:p w14:paraId="179D0961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sz w:val="16"/>
                <w:szCs w:val="16"/>
                <w:lang w:val="es-MX"/>
              </w:rPr>
            </w:pPr>
            <w:r w:rsidRPr="003D3D97">
              <w:rPr>
                <w:sz w:val="16"/>
                <w:szCs w:val="16"/>
                <w:lang w:val="es-MX"/>
              </w:rPr>
              <w:t>Información comercial - Materiales retardantes y/o inhibidores de flama y/o ignífugos - Etiquetado, publicada en el DOF el 08 de diciembre de 1994.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D9963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sz w:val="16"/>
                <w:szCs w:val="16"/>
                <w:lang w:val="es-MX"/>
              </w:rPr>
            </w:pPr>
            <w:r w:rsidRPr="003D3D97">
              <w:rPr>
                <w:sz w:val="16"/>
                <w:szCs w:val="16"/>
                <w:lang w:val="es-MX"/>
              </w:rPr>
              <w:t>Capítulo 4 (Marcado y etiquetado).</w:t>
            </w:r>
          </w:p>
        </w:tc>
      </w:tr>
      <w:tr w:rsidR="0064273E" w:rsidRPr="003D3D97" w14:paraId="326E228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73628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b/>
                <w:sz w:val="16"/>
                <w:szCs w:val="16"/>
                <w:lang w:val="es-MX"/>
              </w:rPr>
            </w:pPr>
            <w:r w:rsidRPr="003D3D97">
              <w:rPr>
                <w:b/>
                <w:sz w:val="16"/>
                <w:szCs w:val="16"/>
                <w:lang w:val="es-MX"/>
              </w:rPr>
              <w:t>VI.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7BFD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sz w:val="16"/>
                <w:szCs w:val="16"/>
                <w:lang w:val="es-MX"/>
              </w:rPr>
            </w:pPr>
            <w:r w:rsidRPr="003D3D97">
              <w:rPr>
                <w:sz w:val="16"/>
                <w:szCs w:val="16"/>
                <w:lang w:val="es-MX"/>
              </w:rPr>
              <w:t>NOM-003-SSA1-2006.</w:t>
            </w:r>
          </w:p>
          <w:p w14:paraId="2972827C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sz w:val="16"/>
                <w:szCs w:val="16"/>
                <w:lang w:val="es-MX"/>
              </w:rPr>
            </w:pPr>
            <w:r w:rsidRPr="003D3D97">
              <w:rPr>
                <w:sz w:val="16"/>
                <w:szCs w:val="16"/>
                <w:lang w:val="es-MX"/>
              </w:rPr>
              <w:t>Salud ambiental. Requisitos sanitarios que debe satisfacer el etiquetado de pinturas, tintas, barnices, lacas y esmaltes, publicada en el DOF el 04 de agosto de 2008 y sus posteriores modificaciones.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4A657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sz w:val="16"/>
                <w:szCs w:val="16"/>
                <w:lang w:val="es-MX"/>
              </w:rPr>
            </w:pPr>
            <w:r w:rsidRPr="003D3D97">
              <w:rPr>
                <w:sz w:val="16"/>
                <w:szCs w:val="16"/>
                <w:lang w:val="es-MX"/>
              </w:rPr>
              <w:t>Capítulo 5 (Especificaciones).</w:t>
            </w:r>
          </w:p>
        </w:tc>
      </w:tr>
      <w:tr w:rsidR="0064273E" w:rsidRPr="003D3D97" w14:paraId="3FAD712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FADD2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sz w:val="16"/>
                <w:szCs w:val="16"/>
                <w:lang w:val="es-MX"/>
              </w:rPr>
            </w:pPr>
            <w:r w:rsidRPr="003D3D97">
              <w:rPr>
                <w:b/>
                <w:sz w:val="16"/>
                <w:szCs w:val="16"/>
                <w:lang w:val="es-MX"/>
              </w:rPr>
              <w:t>VII.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C3924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sz w:val="16"/>
                <w:szCs w:val="16"/>
                <w:lang w:val="es-MX"/>
              </w:rPr>
            </w:pPr>
            <w:r w:rsidRPr="003D3D97">
              <w:rPr>
                <w:sz w:val="16"/>
                <w:szCs w:val="16"/>
                <w:lang w:val="es-MX"/>
              </w:rPr>
              <w:t>NOM-235-SE-2020.</w:t>
            </w:r>
          </w:p>
          <w:p w14:paraId="7198EA79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sz w:val="16"/>
                <w:szCs w:val="16"/>
                <w:lang w:val="es-MX"/>
              </w:rPr>
            </w:pPr>
            <w:r w:rsidRPr="003D3D97">
              <w:rPr>
                <w:sz w:val="16"/>
                <w:szCs w:val="16"/>
                <w:lang w:val="es-MX"/>
              </w:rPr>
              <w:t>Atún y bonita preenvasados- Denominación-Especificaciones-Información comercial y métodos de prueba, publicada en el DOF el 18 de septiembre de 2020.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82057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sz w:val="16"/>
                <w:szCs w:val="16"/>
                <w:lang w:val="es-MX"/>
              </w:rPr>
            </w:pPr>
            <w:r w:rsidRPr="003D3D97">
              <w:rPr>
                <w:sz w:val="16"/>
                <w:szCs w:val="16"/>
                <w:lang w:val="es-MX"/>
              </w:rPr>
              <w:t>Capítulo 5 (Información comercial).</w:t>
            </w:r>
          </w:p>
        </w:tc>
      </w:tr>
      <w:tr w:rsidR="0064273E" w:rsidRPr="003D3D97" w14:paraId="73D1024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B1DA3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b/>
                <w:sz w:val="16"/>
                <w:szCs w:val="16"/>
                <w:lang w:val="es-MX"/>
              </w:rPr>
            </w:pPr>
            <w:r w:rsidRPr="003D3D97">
              <w:rPr>
                <w:b/>
                <w:sz w:val="16"/>
                <w:szCs w:val="16"/>
                <w:lang w:val="es-MX"/>
              </w:rPr>
              <w:t>VIII.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CFE10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sz w:val="16"/>
                <w:szCs w:val="16"/>
                <w:lang w:val="es-MX"/>
              </w:rPr>
            </w:pPr>
            <w:r w:rsidRPr="003D3D97">
              <w:rPr>
                <w:sz w:val="16"/>
                <w:szCs w:val="16"/>
                <w:lang w:val="es-MX"/>
              </w:rPr>
              <w:t>NOM-051-SCFI/SSA1-2010.</w:t>
            </w:r>
          </w:p>
          <w:p w14:paraId="2D7B6B6E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sz w:val="16"/>
                <w:szCs w:val="16"/>
                <w:lang w:val="es-MX"/>
              </w:rPr>
            </w:pPr>
            <w:r w:rsidRPr="003D3D97">
              <w:rPr>
                <w:sz w:val="16"/>
                <w:szCs w:val="16"/>
                <w:lang w:val="es-MX"/>
              </w:rPr>
              <w:t>Especificaciones generales de etiquetado para alimentos y bebidas no alcohólicas preenvasados-Información comercial y sanitaria, publicada en el DOF el 05 de abril de 2010 y sus posteriores modificaciones.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169A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sz w:val="16"/>
                <w:szCs w:val="16"/>
                <w:lang w:val="es-MX"/>
              </w:rPr>
            </w:pPr>
            <w:r w:rsidRPr="003D3D97">
              <w:rPr>
                <w:sz w:val="16"/>
                <w:szCs w:val="16"/>
                <w:lang w:val="es-MX"/>
              </w:rPr>
              <w:t>Capítulo 4 (Especificaciones), excepto lo establecido en el inciso 4.2.8 relativo a la información nutrimental.</w:t>
            </w:r>
          </w:p>
        </w:tc>
      </w:tr>
      <w:tr w:rsidR="0064273E" w:rsidRPr="003D3D97" w14:paraId="304F699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A8F8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b/>
                <w:sz w:val="16"/>
                <w:szCs w:val="16"/>
                <w:lang w:val="es-MX"/>
              </w:rPr>
            </w:pPr>
            <w:r w:rsidRPr="003D3D97">
              <w:rPr>
                <w:b/>
                <w:sz w:val="16"/>
                <w:szCs w:val="16"/>
                <w:lang w:val="es-MX"/>
              </w:rPr>
              <w:t>IX.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F09D6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sz w:val="16"/>
                <w:szCs w:val="16"/>
                <w:lang w:val="es-MX"/>
              </w:rPr>
            </w:pPr>
            <w:r w:rsidRPr="003D3D97">
              <w:rPr>
                <w:sz w:val="16"/>
                <w:szCs w:val="16"/>
                <w:lang w:val="es-MX"/>
              </w:rPr>
              <w:t>NOM-050-SCFI-2004.</w:t>
            </w:r>
          </w:p>
          <w:p w14:paraId="5FD9251E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sz w:val="16"/>
                <w:szCs w:val="16"/>
                <w:lang w:val="es-MX"/>
              </w:rPr>
            </w:pPr>
            <w:r w:rsidRPr="003D3D97">
              <w:rPr>
                <w:sz w:val="16"/>
                <w:szCs w:val="16"/>
                <w:lang w:val="es-MX"/>
              </w:rPr>
              <w:t>Información comercial–Etiquetado general de productos, publicada en el DOF el 01 de junio de 2004.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1C997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sz w:val="16"/>
                <w:szCs w:val="16"/>
                <w:lang w:val="es-MX"/>
              </w:rPr>
            </w:pPr>
            <w:r w:rsidRPr="003D3D97">
              <w:rPr>
                <w:sz w:val="16"/>
                <w:szCs w:val="16"/>
                <w:lang w:val="es-MX"/>
              </w:rPr>
              <w:t>Incisos 5.1 y 5.2 del Capítulo 5 (Información comercial), excepto lo establecido en el inciso 5.2.1., literal (f), relativo a los instructivos o manuales de operación.</w:t>
            </w:r>
          </w:p>
        </w:tc>
      </w:tr>
      <w:tr w:rsidR="0064273E" w:rsidRPr="003D3D97" w14:paraId="646D9F2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2A77C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b/>
                <w:sz w:val="16"/>
                <w:szCs w:val="16"/>
                <w:lang w:val="es-MX"/>
              </w:rPr>
            </w:pPr>
            <w:r w:rsidRPr="003D3D97">
              <w:rPr>
                <w:b/>
                <w:sz w:val="16"/>
                <w:szCs w:val="16"/>
                <w:lang w:val="es-MX"/>
              </w:rPr>
              <w:t>X.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033E3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sz w:val="16"/>
                <w:szCs w:val="16"/>
                <w:lang w:val="es-MX"/>
              </w:rPr>
            </w:pPr>
            <w:r w:rsidRPr="003D3D97">
              <w:rPr>
                <w:sz w:val="16"/>
                <w:szCs w:val="16"/>
                <w:lang w:val="es-MX"/>
              </w:rPr>
              <w:t>NOM-142-SSA1/SCFI-2014.</w:t>
            </w:r>
          </w:p>
          <w:p w14:paraId="2E435E69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sz w:val="16"/>
                <w:szCs w:val="16"/>
                <w:lang w:val="es-MX"/>
              </w:rPr>
            </w:pPr>
            <w:r w:rsidRPr="003D3D97">
              <w:rPr>
                <w:sz w:val="16"/>
                <w:szCs w:val="16"/>
                <w:lang w:val="es-MX"/>
              </w:rPr>
              <w:t>Bebidas alcohólicas. Especificaciones sanitarias. Etiquetado sanitario y comercial, publicada en el DOF el 23 de marzo de 2015.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9BEE7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sz w:val="16"/>
                <w:szCs w:val="16"/>
                <w:lang w:val="es-MX"/>
              </w:rPr>
            </w:pPr>
            <w:r w:rsidRPr="003D3D97">
              <w:rPr>
                <w:sz w:val="16"/>
                <w:szCs w:val="16"/>
                <w:lang w:val="es-MX"/>
              </w:rPr>
              <w:t>Capítulo 9 (Etiquetado).</w:t>
            </w:r>
          </w:p>
        </w:tc>
      </w:tr>
      <w:tr w:rsidR="0064273E" w:rsidRPr="003D3D97" w14:paraId="1D1869E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5378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b/>
                <w:sz w:val="16"/>
                <w:szCs w:val="16"/>
                <w:lang w:val="es-MX"/>
              </w:rPr>
            </w:pPr>
            <w:r w:rsidRPr="003D3D97">
              <w:rPr>
                <w:b/>
                <w:sz w:val="16"/>
                <w:szCs w:val="16"/>
                <w:lang w:val="es-MX"/>
              </w:rPr>
              <w:t>XI.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EFF6E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sz w:val="16"/>
                <w:szCs w:val="16"/>
                <w:lang w:val="es-MX"/>
              </w:rPr>
            </w:pPr>
            <w:r w:rsidRPr="003D3D97">
              <w:rPr>
                <w:sz w:val="16"/>
                <w:szCs w:val="16"/>
                <w:lang w:val="es-MX"/>
              </w:rPr>
              <w:t>NOM-015-SCFI-2007.</w:t>
            </w:r>
          </w:p>
          <w:p w14:paraId="5469FAD2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sz w:val="16"/>
                <w:szCs w:val="16"/>
                <w:lang w:val="es-MX"/>
              </w:rPr>
            </w:pPr>
            <w:r w:rsidRPr="003D3D97">
              <w:rPr>
                <w:sz w:val="16"/>
                <w:szCs w:val="16"/>
                <w:lang w:val="es-MX"/>
              </w:rPr>
              <w:t>Información comercial-Etiquetado para juguetes, publicada en el DOF el 17 de abril de 2008.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83EA8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sz w:val="16"/>
                <w:szCs w:val="16"/>
                <w:lang w:val="es-MX"/>
              </w:rPr>
            </w:pPr>
            <w:r w:rsidRPr="003D3D97">
              <w:rPr>
                <w:sz w:val="16"/>
                <w:szCs w:val="16"/>
                <w:lang w:val="es-MX"/>
              </w:rPr>
              <w:t>Capítulo 5 (Especificaciones de información comercial), excepto lo establecido en los incisos 5.1.1 y 5.1.2, literal c), relativo al nombre, denominación o razón social y domicilio del fabricante o responsable de la fabricación.</w:t>
            </w:r>
          </w:p>
        </w:tc>
      </w:tr>
      <w:tr w:rsidR="0064273E" w:rsidRPr="003D3D97" w14:paraId="23AEF85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2B514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b/>
                <w:sz w:val="16"/>
                <w:szCs w:val="16"/>
                <w:lang w:val="es-MX"/>
              </w:rPr>
            </w:pPr>
            <w:r w:rsidRPr="003D3D97">
              <w:rPr>
                <w:b/>
                <w:sz w:val="16"/>
                <w:szCs w:val="16"/>
                <w:lang w:val="es-MX"/>
              </w:rPr>
              <w:t>XII.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9AB87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sz w:val="16"/>
                <w:szCs w:val="16"/>
                <w:lang w:val="es-MX"/>
              </w:rPr>
            </w:pPr>
            <w:r w:rsidRPr="003D3D97">
              <w:rPr>
                <w:sz w:val="16"/>
                <w:szCs w:val="16"/>
                <w:lang w:val="es-MX"/>
              </w:rPr>
              <w:t>NOM-141-SSA1/SCFI 2012.</w:t>
            </w:r>
          </w:p>
          <w:p w14:paraId="23062160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b/>
                <w:sz w:val="16"/>
                <w:szCs w:val="16"/>
                <w:lang w:val="es-MX"/>
              </w:rPr>
            </w:pPr>
            <w:r w:rsidRPr="003D3D97">
              <w:rPr>
                <w:sz w:val="16"/>
                <w:szCs w:val="16"/>
                <w:lang w:val="es-MX"/>
              </w:rPr>
              <w:t>Etiquetado para productos cosméticos</w:t>
            </w:r>
            <w:r w:rsidRPr="003D3D97">
              <w:rPr>
                <w:b/>
                <w:sz w:val="16"/>
                <w:szCs w:val="16"/>
                <w:lang w:val="es-MX"/>
              </w:rPr>
              <w:t xml:space="preserve"> </w:t>
            </w:r>
            <w:r w:rsidRPr="003D3D97">
              <w:rPr>
                <w:sz w:val="16"/>
                <w:szCs w:val="16"/>
                <w:lang w:val="es-MX"/>
              </w:rPr>
              <w:t>preenvasados. Etiquetado sanitario y comercial, publicada en el DOF el 19 de septiembre de 2012 y sus posteriores modificaciones.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B36B8" w14:textId="77777777" w:rsidR="0064273E" w:rsidRPr="003D3D97" w:rsidRDefault="0064273E" w:rsidP="00C669A5">
            <w:pPr>
              <w:pStyle w:val="Texto"/>
              <w:spacing w:before="20" w:after="20" w:line="161" w:lineRule="exact"/>
              <w:ind w:firstLine="0"/>
              <w:rPr>
                <w:sz w:val="16"/>
                <w:szCs w:val="16"/>
                <w:lang w:val="es-MX"/>
              </w:rPr>
            </w:pPr>
            <w:r w:rsidRPr="003D3D97">
              <w:rPr>
                <w:sz w:val="16"/>
                <w:szCs w:val="16"/>
                <w:lang w:val="es-MX"/>
              </w:rPr>
              <w:t>Capítulo 5 (requisitos de etiquetado), excepto lo establecido en el inciso 5.1.6.1, relativo al nombre, denominación o razón social y domicilio fiscal</w:t>
            </w:r>
            <w:r w:rsidRPr="003D3D97">
              <w:rPr>
                <w:b/>
                <w:sz w:val="16"/>
                <w:szCs w:val="16"/>
                <w:lang w:val="es-MX"/>
              </w:rPr>
              <w:t xml:space="preserve"> </w:t>
            </w:r>
            <w:r w:rsidRPr="003D3D97">
              <w:rPr>
                <w:sz w:val="16"/>
                <w:szCs w:val="16"/>
                <w:lang w:val="es-MX"/>
              </w:rPr>
              <w:t>del productor o responsable de la fabricación, y al importador.</w:t>
            </w:r>
          </w:p>
        </w:tc>
      </w:tr>
    </w:tbl>
    <w:p w14:paraId="0A796CEF" w14:textId="77777777" w:rsidR="0064273E" w:rsidRPr="00536BE6" w:rsidRDefault="0064273E" w:rsidP="0064273E">
      <w:pPr>
        <w:pStyle w:val="Texto"/>
        <w:spacing w:before="20" w:after="20"/>
        <w:rPr>
          <w:b/>
          <w:lang w:val="es-MX"/>
        </w:rPr>
      </w:pPr>
    </w:p>
    <w:p w14:paraId="6F54CC10" w14:textId="77777777" w:rsidR="0064273E" w:rsidRPr="00536BE6" w:rsidRDefault="0064273E" w:rsidP="0064273E">
      <w:pPr>
        <w:pStyle w:val="Texto"/>
        <w:spacing w:before="20" w:after="20"/>
        <w:rPr>
          <w:lang w:val="es-MX"/>
        </w:rPr>
      </w:pPr>
      <w:r w:rsidRPr="00536BE6">
        <w:rPr>
          <w:b/>
          <w:lang w:val="es-MX"/>
        </w:rPr>
        <w:t>Nota:</w:t>
      </w:r>
      <w:r w:rsidRPr="00536BE6">
        <w:rPr>
          <w:lang w:val="es-MX"/>
        </w:rPr>
        <w:t xml:space="preserve"> Los datos a que se refiere este Anexo deben presentarse en idioma español; en caso contrario, se considerará incumplimiento sancionable en los términos de la Ley.</w:t>
      </w:r>
    </w:p>
    <w:p w14:paraId="23256758" w14:textId="77777777" w:rsidR="0064273E" w:rsidRPr="00536BE6" w:rsidRDefault="0064273E" w:rsidP="0064273E">
      <w:pPr>
        <w:pStyle w:val="Texto"/>
        <w:spacing w:before="20" w:after="20"/>
        <w:rPr>
          <w:color w:val="000000"/>
          <w:lang w:val="es-MX"/>
        </w:rPr>
      </w:pPr>
      <w:r w:rsidRPr="00536BE6">
        <w:rPr>
          <w:color w:val="000000"/>
          <w:lang w:val="es-MX"/>
        </w:rPr>
        <w:t>Atentamente.</w:t>
      </w:r>
    </w:p>
    <w:p w14:paraId="6CFA533D" w14:textId="77777777" w:rsidR="0064273E" w:rsidRPr="003D3D97" w:rsidRDefault="0064273E" w:rsidP="0064273E">
      <w:pPr>
        <w:pStyle w:val="Texto"/>
        <w:spacing w:before="20" w:after="20"/>
        <w:rPr>
          <w:color w:val="000000"/>
          <w:lang w:val="es-MX"/>
        </w:rPr>
      </w:pPr>
      <w:r w:rsidRPr="00536BE6">
        <w:rPr>
          <w:color w:val="000000"/>
          <w:lang w:val="es-MX"/>
        </w:rPr>
        <w:lastRenderedPageBreak/>
        <w:t>Ciudad de México, a 20 de diciembre de 2024.</w:t>
      </w:r>
      <w:r>
        <w:rPr>
          <w:color w:val="000000"/>
          <w:lang w:val="es-MX"/>
        </w:rPr>
        <w:t xml:space="preserve">- </w:t>
      </w:r>
      <w:r w:rsidRPr="00536BE6">
        <w:rPr>
          <w:lang w:val="es-MX"/>
        </w:rPr>
        <w:t>En suplencia por ausencia del Jefe del Servicio de Administración Tributaria, con fundamento en el artículo 4, primer párrafo del Reglamento Interior del Servicio de Administración Tributaria, firma el</w:t>
      </w:r>
      <w:r>
        <w:rPr>
          <w:lang w:val="es-MX"/>
        </w:rPr>
        <w:t xml:space="preserve"> Administrador General Jurídico, </w:t>
      </w:r>
      <w:r w:rsidRPr="00536BE6">
        <w:rPr>
          <w:color w:val="000000"/>
          <w:lang w:val="es-MX"/>
        </w:rPr>
        <w:t xml:space="preserve">Lic. </w:t>
      </w:r>
      <w:r w:rsidRPr="003D3D97">
        <w:rPr>
          <w:b/>
          <w:color w:val="000000"/>
          <w:lang w:val="es-MX"/>
        </w:rPr>
        <w:t>Ricardo Carrasco Varona</w:t>
      </w:r>
      <w:r>
        <w:rPr>
          <w:color w:val="000000"/>
          <w:lang w:val="es-MX"/>
        </w:rPr>
        <w:t>.- Rúbrica</w:t>
      </w:r>
    </w:p>
    <w:p w14:paraId="5A5834CF" w14:textId="77777777" w:rsidR="00301412" w:rsidRDefault="00301412"/>
    <w:sectPr w:rsidR="00301412" w:rsidSect="0064273E">
      <w:headerReference w:type="even" r:id="rId4"/>
      <w:headerReference w:type="default" r:id="rId5"/>
      <w:pgSz w:w="12240" w:h="15840" w:code="1"/>
      <w:pgMar w:top="1152" w:right="1699" w:bottom="1296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050C6" w14:textId="77777777" w:rsidR="0064273E" w:rsidRDefault="0064273E" w:rsidP="00F97EC9">
    <w:pPr>
      <w:pStyle w:val="Fechas"/>
    </w:pPr>
    <w:r>
      <w:tab/>
      <w:t>DIARIO OFICIAL</w:t>
    </w:r>
    <w:r>
      <w:tab/>
      <w:t>Lunes 6 de enero de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57A40" w14:textId="77777777" w:rsidR="0064273E" w:rsidRDefault="0064273E" w:rsidP="00F97EC9">
    <w:pPr>
      <w:pStyle w:val="Fechas"/>
    </w:pPr>
    <w:r>
      <w:t>Lunes 6 de enero de 2025</w:t>
    </w:r>
    <w:r>
      <w:tab/>
      <w:t>DIARIO OFICIAL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3E"/>
    <w:rsid w:val="0000599D"/>
    <w:rsid w:val="002D1906"/>
    <w:rsid w:val="00301412"/>
    <w:rsid w:val="0064273E"/>
    <w:rsid w:val="00DF171A"/>
    <w:rsid w:val="00F1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84FDD"/>
  <w15:chartTrackingRefBased/>
  <w15:docId w15:val="{6E1C498B-3FF5-417C-BBF5-4C2768E7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7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4273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273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273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273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273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273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273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273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273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27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27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27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273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273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27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273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27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27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427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42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4273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427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4273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4273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427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4273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27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273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4273E"/>
    <w:rPr>
      <w:b/>
      <w:bCs/>
      <w:smallCaps/>
      <w:color w:val="0F4761" w:themeColor="accent1" w:themeShade="BF"/>
      <w:spacing w:val="5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64273E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Fechas">
    <w:name w:val="Fechas"/>
    <w:basedOn w:val="Texto"/>
    <w:autoRedefine/>
    <w:rsid w:val="0064273E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character" w:customStyle="1" w:styleId="TextoCar">
    <w:name w:val="Texto Car"/>
    <w:link w:val="Texto"/>
    <w:locked/>
    <w:rsid w:val="0064273E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CABEZA">
    <w:name w:val="CABEZA"/>
    <w:basedOn w:val="Normal"/>
    <w:rsid w:val="0064273E"/>
    <w:pPr>
      <w:jc w:val="center"/>
    </w:pPr>
    <w:rPr>
      <w:rFonts w:eastAsia="Calibri" w:cs="Arial"/>
      <w:b/>
      <w:sz w:val="28"/>
      <w:szCs w:val="28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Benavides</dc:creator>
  <cp:keywords/>
  <dc:description/>
  <cp:lastModifiedBy>Daniel Benavides</cp:lastModifiedBy>
  <cp:revision>1</cp:revision>
  <dcterms:created xsi:type="dcterms:W3CDTF">2025-01-06T14:07:00Z</dcterms:created>
  <dcterms:modified xsi:type="dcterms:W3CDTF">2025-01-06T14:08:00Z</dcterms:modified>
</cp:coreProperties>
</file>